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579C" w14:textId="77777777" w:rsidR="005C1AAD" w:rsidRDefault="005C1AAD" w:rsidP="005C1AAD">
      <w:pPr>
        <w:widowControl w:val="0"/>
        <w:spacing w:after="0" w:line="276" w:lineRule="auto"/>
        <w:jc w:val="right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</w:pPr>
      <w:r w:rsidRPr="005C1AAD"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  <w:t>ANEXA Nr. 6</w:t>
      </w:r>
      <w:bookmarkStart w:id="0" w:name="bookmark40"/>
    </w:p>
    <w:p w14:paraId="2C9C3606" w14:textId="77777777" w:rsidR="005C1AAD" w:rsidRPr="005C1AAD" w:rsidRDefault="005C1AAD" w:rsidP="005C1AAD">
      <w:pPr>
        <w:widowControl w:val="0"/>
        <w:spacing w:after="0" w:line="276" w:lineRule="auto"/>
        <w:jc w:val="right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</w:pPr>
    </w:p>
    <w:p w14:paraId="3BE4EE9D" w14:textId="77777777" w:rsidR="005C1AAD" w:rsidRPr="005C1AAD" w:rsidRDefault="005C1AAD" w:rsidP="005C1AAD">
      <w:pPr>
        <w:widowControl w:val="0"/>
        <w:spacing w:after="0" w:line="276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val="ro-RO" w:eastAsia="ro-RO" w:bidi="ro-RO"/>
          <w14:ligatures w14:val="none"/>
        </w:rPr>
      </w:pPr>
      <w:r w:rsidRPr="005C1AAD">
        <w:rPr>
          <w:rFonts w:eastAsia="Times New Roman" w:cstheme="minorHAnsi"/>
          <w:b/>
          <w:bCs/>
          <w:color w:val="000000"/>
          <w:kern w:val="0"/>
          <w:sz w:val="24"/>
          <w:szCs w:val="24"/>
          <w:lang w:val="ro-RO" w:eastAsia="ro-RO" w:bidi="ro-RO"/>
          <w14:ligatures w14:val="none"/>
        </w:rPr>
        <w:t>Condiţii specifice ale contractului de finanţare</w:t>
      </w:r>
      <w:bookmarkEnd w:id="0"/>
    </w:p>
    <w:p w14:paraId="58A2C8F0" w14:textId="77777777" w:rsidR="005C1AAD" w:rsidRPr="005C1AAD" w:rsidRDefault="005C1AAD" w:rsidP="005C1AAD">
      <w:pPr>
        <w:widowControl w:val="0"/>
        <w:spacing w:after="0" w:line="276" w:lineRule="auto"/>
        <w:jc w:val="both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lang w:val="ro-RO" w:eastAsia="ro-RO" w:bidi="ro-RO"/>
          <w14:ligatures w14:val="none"/>
        </w:rPr>
      </w:pPr>
    </w:p>
    <w:p w14:paraId="7803791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juridic general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desfășura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juridice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guvernate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3849B31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Articolul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1 -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Durata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2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7E682855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sustenabilitatea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5 ani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finale. </w:t>
      </w:r>
    </w:p>
    <w:p w14:paraId="7CE040CF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2)</w:t>
      </w:r>
      <w:r w:rsidRPr="005C1AAD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expirarea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sustenabilitate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următoarele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sub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sancțiunea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42232FD3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mentenanța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);</w:t>
      </w:r>
    </w:p>
    <w:p w14:paraId="5AEE7769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real principal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fac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locaţiile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conferă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0967D51C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substanțială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natura,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conduce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subminarea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inițiale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F673E1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66C66EB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2 -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Eligibilitatea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4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65926BAC" w14:textId="77777777" w:rsidR="005C1AAD" w:rsidRPr="005C1AAD" w:rsidRDefault="005C1AAD" w:rsidP="005C1A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plățile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virament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bancar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Plata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natură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salarială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implicate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numerar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3D3995B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6531DE2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3 –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Mecanismul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art.5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4524795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tranșe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art. 18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Ordonanţa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urgenţă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Guvernului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133/2021.</w:t>
      </w:r>
    </w:p>
    <w:p w14:paraId="23503CD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art. 18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(2) din OUG nr. 133/2021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cuprindă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tranşa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cuantum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minimum 50%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maximum 90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calendaristice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la care AM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tranşa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aceștia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potrivit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alineat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83B31C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finale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rămasă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1F1EDD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comisioanele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transfer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bancar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plătite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93F558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3DC1343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4 –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Rambursarea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6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37FD452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procesarea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SM,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face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mecanismelor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Capitolul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V din OUG nr. 133/2021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instrucțiunilor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AM PR SM. </w:t>
      </w:r>
    </w:p>
    <w:p w14:paraId="0A539A5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maxim de 60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calendaristice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445541B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Graficul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fundamentate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corelate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graficul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livrare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echipamentelor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prestare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etc.,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cash-flow-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provenind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împrumuturi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estimate a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5C6ED3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actualiza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3 -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Graficul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câte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intervin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pragului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minim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valoric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excepțiilor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0B87016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cost total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mic de 5.000.000 EUR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TVA),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evita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dubla-finanțare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AM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declarații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pe propria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din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rezulte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TVA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aferentă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corespunzătoare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achizițiilor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furnizori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prestatori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antreprenori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nu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legislatiei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fiscal. </w:t>
      </w:r>
    </w:p>
    <w:p w14:paraId="554D2BD3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cost total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mare de 5.000.000 EUR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TVA),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AM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declarații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pe propria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din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rezulte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nerecuperabil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TVA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0C9716F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</w:p>
    <w:p w14:paraId="1B58EF5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5 -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7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3DE31F9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propria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singurul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răspunzător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realizarea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calendarul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management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eficient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resurselor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umane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D3EEFA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demersurile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politicile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naţionale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egalitatea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şanse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legislaţiei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naţionale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DNSH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cerințe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achizitii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imunizarea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schimbările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climatice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egalităţii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şanse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nediscriminării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egalităţii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gen, GDPR, Carta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fundamentale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Convenția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Handicap,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spălării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terorismului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evitării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fraudei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evaziunii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27C4AF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declară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angajează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irevocabil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necondiționat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555684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50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2021/1060,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elaborat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Ministerul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aprobat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pagina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web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88F727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designul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conținutul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elaborate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tehnice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puțin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15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înainte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lansarea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227595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păstra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dovezile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care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plus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5 ani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închiderea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Este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recomandată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păstrarea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exemplar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material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încât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demonstra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A9BEA40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7)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revin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remediere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principiului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proporționalității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putând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diminua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mult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3%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sprijinul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1060/2021 art. 50,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(3).</w:t>
      </w:r>
    </w:p>
    <w:p w14:paraId="6A766C3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8)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dezmembreze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scris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C2196E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9)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înstrăineze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fie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mobile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fie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mobile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mult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0FA7D6F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•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34EFA06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•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sustenabilităţii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investiţiei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7E91F8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10)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AM PR SM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copie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extrasului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carte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funciară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menţiunea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30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Registrul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carte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funciară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56B59E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8,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obţinerii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credit,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creditului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ataşat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creditului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264E74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8,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prezumă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vătămate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cauza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îngreunării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eventuale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silite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clauză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cuantum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egal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adaugă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409927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alt document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oficial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AM/OI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legal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împuternicită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E43D85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tuturor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avizelor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acreditărilor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licențelor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/etc.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desfășurarea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sale.</w:t>
      </w:r>
    </w:p>
    <w:p w14:paraId="6BD01D0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conduce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financiare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reduceri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procentuale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9F7A7E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încărca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sistemul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MySMIS2021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dosarele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publica/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de:</w:t>
      </w:r>
    </w:p>
    <w:p w14:paraId="1CF1590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- 10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anterior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),</w:t>
      </w:r>
    </w:p>
    <w:p w14:paraId="71F0608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10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structura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personalului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contractorului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ulterior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).</w:t>
      </w:r>
    </w:p>
    <w:p w14:paraId="2DB38A0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17)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puțin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dosarului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condiționat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dosarului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publica/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sus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menționat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BC34C4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18)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document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evaluării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evaluării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pus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dispoziția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E51B41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19)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limba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română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limbă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însoțite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traducerea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limba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română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F773CC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20)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recomandările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acțiunile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corective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recomandările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Audit,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auditului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C62CD4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21) Orice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legate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intelectuală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industrială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obţinute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excepţia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preexistente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56AA8E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folosească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gratuit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special,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stocheze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traducă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afișeze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reproducă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tehnică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suport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derivă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forma lor,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încalce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industrială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intelectuală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existente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7DDE2D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23)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membrii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următoarele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2654D5F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a)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Toţi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ţinuţi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întocmai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faţa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FA0EF2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b)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Membrii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C0341C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c)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solicitate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SM/OI-SIFE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400036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d)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considerate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F8F6D9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e)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emit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C6C3EA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depăsește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maxim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absorbție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dezangajare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program,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timp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util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apariția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FAB7B3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apariției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(23),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reușește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întregului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returnarea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0A370F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6 -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AM – art. 8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1932324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f,inanțare</w:t>
      </w:r>
      <w:proofErr w:type="spellEnd"/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instrucțiuni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34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 1 din OUG nr. 23/2023.</w:t>
      </w:r>
    </w:p>
    <w:p w14:paraId="35BF0F7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AM PR SM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are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DC0B5A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AM PR SM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are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face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reduceri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parţială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susţinute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atingerea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asociați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principiului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proporţionalităţii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506E95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AM PR SM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are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decide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formalități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</w:t>
      </w:r>
    </w:p>
    <w:p w14:paraId="5531B43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7,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(23)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decide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suspendarea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EDCBD5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Conform art. 49,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(6)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1060/2021, AM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dispoziția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instituțiilor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organelor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oficiilor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licență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redevențe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neexclusivă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irevocabilă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oricăror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preexistente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IX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1060/2021.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costuri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suplimentare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semnificative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nicio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sarcină</w:t>
      </w:r>
      <w:proofErr w:type="spellEnd"/>
    </w:p>
    <w:p w14:paraId="25586E0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administrative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semnificativă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AM.</w:t>
      </w:r>
    </w:p>
    <w:p w14:paraId="4C81B7A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7 -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completări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10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276FECA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Prelungirea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niciun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expirarea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BD6416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economii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diferențe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estimată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pot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prealabil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597962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temeinic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determinate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principal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normativ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relevante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unilateral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principiilor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3686DE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contribuţia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majorarea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împreună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reiasă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angajamentul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resurse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suplimentare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disponibilitatea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84CE39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AM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unilateral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stat).</w:t>
      </w:r>
    </w:p>
    <w:p w14:paraId="28C3622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principal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</w:t>
      </w:r>
    </w:p>
    <w:p w14:paraId="6A98831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8 -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Conflictul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incompatibilități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11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77EB351E" w14:textId="77777777" w:rsidR="005C1AAD" w:rsidRPr="005C1AAD" w:rsidRDefault="005C1AAD" w:rsidP="005C1AA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conflictului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incompatibilităților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directe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561BF94" w14:textId="77777777" w:rsidR="005C1AAD" w:rsidRPr="005C1AAD" w:rsidRDefault="005C1AAD" w:rsidP="005C1AA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fiecărei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declaraţie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legal din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conflict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61FF580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1BE0AE0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9 -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12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15821AB1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1)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OUG nr. 122/2020,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delegare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încheiat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ADR Sud Muntenia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OI-SIFE,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3B46B658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sancționarea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apărute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comunitară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2021-2027,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22CE10BB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neachitarea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termen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proceselor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verbale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5664A9B4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suspiciunilor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fraudă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fraudă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apărute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comunitară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2021-2027,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6ECF3B13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soluționarea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contestațiilor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administrative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SIFE,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contenciosului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554/2004,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MF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structurile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desemnate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H.G. nr. 34/2009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organizarea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funcționarea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Ministerului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),</w:t>
      </w:r>
    </w:p>
    <w:p w14:paraId="1F1A3C32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inspecție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fonduri-europene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(SIFE)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Direcției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Inspecție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Economico-Financiară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(DGEIF)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Ministerul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(MF)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Organism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Intermediar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2021-2027.</w:t>
      </w: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4C83FA0B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întocmirea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-verbal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note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financiare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contenciosului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554/2004,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/ă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stingerii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7E1C5474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expirarea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scadent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debitul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stins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asemenea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necheltuite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neutilizate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integral/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conform OUG nr. 66/2011,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FE0EBE4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destinațiilor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2C64626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5)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detectează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gestiunea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5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solicitate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5B7DDBBF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Comisioanele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ocazionate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cad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sarcina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debitorilor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0664143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4868560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10 -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raportare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13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65BA02EB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5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indicator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însoțit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justificative. </w:t>
      </w:r>
    </w:p>
    <w:p w14:paraId="2C0ED52D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anual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an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12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luni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finale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5014F717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3)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rezervă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ad-hoc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câte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4F57FBBB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indicator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sprijină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posibile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remediere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urmărește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atingerea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întâlniri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tehnice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motivării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stadiului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D610E9F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corective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art. 13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(13)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literele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(a) - (e)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pot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mod gradual. </w:t>
      </w:r>
    </w:p>
    <w:p w14:paraId="0F7AD3D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761E808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11 -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Forța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majoră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14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0B369511" w14:textId="77777777" w:rsidR="005C1AAD" w:rsidRPr="005C1AAD" w:rsidRDefault="005C1AAD" w:rsidP="005C1AA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fortuit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exonerator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480159C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76DD443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12 -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Încetarea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plătite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urmare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15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218FAD0E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decide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unilaterală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reprezintă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această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întregime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deja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FEEC449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nici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formalitate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art. 2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(5),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fie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mobile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cauză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25ECE1F6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intervin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natură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obţinerea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declarat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deja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plătite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penalităților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naţională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0BA5721D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determinată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acţiune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omisiune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returneze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integral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65176A8C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scheme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stat/minimis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4E5F568C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simplul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fapt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încălcării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 </w:t>
      </w:r>
    </w:p>
    <w:p w14:paraId="3A8822F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13B1F2A3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13 -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Protecția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prelucrarea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datelor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caracter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personal – art. 19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2CB624B1" w14:textId="77777777" w:rsidR="005C1AAD" w:rsidRPr="005C1AAD" w:rsidRDefault="005C1AAD" w:rsidP="005C1AA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exprimă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prelucrarea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caracter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personal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auditori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management/audit,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sistemului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informatic Arachne,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62AA6D1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3F2826E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14 -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Dispoziții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finale – art. 26 din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02696F6C" w14:textId="77777777" w:rsidR="005C1AAD" w:rsidRPr="005C1AAD" w:rsidRDefault="005C1AAD" w:rsidP="005C1AA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prevalează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Priorităţii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2021-2027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faţă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faţă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2021-2027. </w:t>
      </w:r>
    </w:p>
    <w:p w14:paraId="21E42D3F" w14:textId="77777777" w:rsidR="005C1AAD" w:rsidRPr="005C1AAD" w:rsidRDefault="005C1AAD" w:rsidP="005C1AA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Priorităţii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2021- 2027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acolo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unde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 </w:t>
      </w:r>
    </w:p>
    <w:p w14:paraId="49A8876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</w:p>
    <w:p w14:paraId="615F702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15 – Condiții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apelului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proiecte</w:t>
      </w:r>
      <w:proofErr w:type="spellEnd"/>
    </w:p>
    <w:p w14:paraId="255D898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</w:p>
    <w:p w14:paraId="10724E06" w14:textId="77777777" w:rsidR="005C1AAD" w:rsidRPr="005C1AAD" w:rsidRDefault="005C1AAD" w:rsidP="005C1AAD">
      <w:pPr>
        <w:spacing w:line="276" w:lineRule="auto"/>
        <w:jc w:val="both"/>
        <w:rPr>
          <w:rFonts w:eastAsia="Calibri" w:cstheme="minorHAnsi"/>
          <w:kern w:val="0"/>
          <w:sz w:val="24"/>
          <w:szCs w:val="24"/>
          <w:lang w:val="ro-RO"/>
          <w14:ligatures w14:val="none"/>
        </w:rPr>
      </w:pPr>
      <w:bookmarkStart w:id="1" w:name="_Hlk150364821"/>
      <w:r w:rsidRPr="005C1AAD">
        <w:rPr>
          <w:rFonts w:eastAsia="Calibri" w:cstheme="minorHAnsi"/>
          <w:kern w:val="0"/>
          <w:sz w:val="24"/>
          <w:szCs w:val="24"/>
          <w:lang w:val="ro-RO"/>
          <w14:ligatures w14:val="none"/>
        </w:rPr>
        <w:t xml:space="preserve">1)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Beneficiarul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obligă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mențină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investiţia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Regiunea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Sud-Muntenia precum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și</w:t>
      </w:r>
      <w:bookmarkEnd w:id="1"/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drepturile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asupra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/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bunurilor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mobile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imobile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fac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cererii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precum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și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asigurat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caracterul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durabil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al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condiţiile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art. 65 din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Regulamentul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(UE) 2021/1.060,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modificările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completările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ulterioare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0C27FC5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2)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Contractul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fi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reziliat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nerambursabilă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acordată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fi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recuperată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cazul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/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bunurile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fie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mobile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imobile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cadrul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prezentului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Contract nu sunt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folosite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conform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scopului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destinat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cazul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acestea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sunt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vândute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înstrăinate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sub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orice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formă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oricând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până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la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finalizarea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perioadei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durabilitate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stabilită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</w:p>
    <w:p w14:paraId="75079BD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3)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Modificarea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durabilitate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permisă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doar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implică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lucrări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construcții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respectarea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următoarelor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condiții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:</w:t>
      </w:r>
    </w:p>
    <w:p w14:paraId="3FF2A74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(a)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schimbarea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spațiului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natură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afecteze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îndeplinirea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indicatorilor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stabiliți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cererea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măsurarea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atingerii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rezultatelor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obiectivelor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5B091C4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(b)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noul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spațiu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află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același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județ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din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Regiunea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Sud Muntenia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fost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situată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locația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inițială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078F7BF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lastRenderedPageBreak/>
        <w:t xml:space="preserve">(c)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se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dovedește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dreptul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real principal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asupra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noului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spațiu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destinat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implementării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valabil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pe o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minimum 5 ani de la data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estimată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efectuarea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plății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finale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cadrul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fracțiunea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rămasă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din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această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funcție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momentul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la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intervine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schimbarea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2693328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(d)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noua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locație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adecvată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realizarea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respectiv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:</w:t>
      </w:r>
    </w:p>
    <w:p w14:paraId="78056A2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racordată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la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toate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utilitățile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necesare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funcționării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02C684E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ii.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ocupată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alți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utilizatori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14E676C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iii.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ocupată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alte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bunuri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nu au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legătură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investiția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activitatea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derulată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beneficiarul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fost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acordată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6868763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iv.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prezintă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un grad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uzură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avansat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elemente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nu fac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investițiilor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depus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0A8CAB8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4)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proiectele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investiții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necesară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obținerea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autorizației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construire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aflate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respectiv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asigurat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caracterul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durabil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al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condițiile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art. 65 din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Regulamentul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(UE) 2021/1.060, cu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modificările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și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completările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ulterioare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nu pot fi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stabilite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limite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ale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dreptului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invocat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să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fie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incompatibile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cu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realizarea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activităților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bunurile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imobile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fac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obiectul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cererii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decât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limitele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stricte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ale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prevederilor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prezentului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contract. </w:t>
      </w:r>
    </w:p>
    <w:p w14:paraId="519CF158" w14:textId="77777777" w:rsidR="005C1AAD" w:rsidRPr="005C1AAD" w:rsidRDefault="005C1AAD" w:rsidP="005C1AAD">
      <w:pPr>
        <w:autoSpaceDE w:val="0"/>
        <w:autoSpaceDN w:val="0"/>
        <w:adjustRightInd w:val="0"/>
        <w:spacing w:after="38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investiții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necesară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autorizației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construire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aflate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asigurat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art. 65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2021/1.060,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nu pot fi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limite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dreptului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invocat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fie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incompatibile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fac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locația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locațiile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decât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limitele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stricte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contract. </w:t>
      </w:r>
    </w:p>
    <w:p w14:paraId="0CE3A99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pe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imobilul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teren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clădiri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) face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litigii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având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invocat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solicitant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aflate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curs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soluţionare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instanţele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judecătoreşti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/ face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revendicărilor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potrivit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legi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speciale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materie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dreptului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comun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analiza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riscurile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intervenite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asiguarea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așa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specificat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(5) – (6),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putând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invoca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rezoluțiunea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mod unilateral,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formalități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acrodate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4EED46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7)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motive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restituire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integrală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primit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29579AF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nr. 2023/2831;</w:t>
      </w:r>
    </w:p>
    <w:p w14:paraId="20E0888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2021/1060;</w:t>
      </w:r>
    </w:p>
    <w:p w14:paraId="60E2E04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2021/1058; </w:t>
      </w:r>
    </w:p>
    <w:p w14:paraId="7AC4302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nerealizarea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niciunuia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obiectivele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5378593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înstrăinarea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obținute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prevăzută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alibri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„Schema de ajutor de minimis pentru sprijinirea dezvoltării microîntreprinderilor și întreprinderilor mici prin </w:t>
      </w:r>
      <w:r w:rsidRPr="005C1AAD">
        <w:rPr>
          <w:rFonts w:eastAsia="Calibri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lastRenderedPageBreak/>
        <w:t xml:space="preserve">Programului Regional Sud-Muntenia 2021-2027”, aprobată prin Dispoziția nr. 5/12.01.2024,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Se 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vedere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atât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înstrăinarea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raport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formă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înstrăinare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înțelege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atât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oneroasă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gratuită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4B03F91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criteriilor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impuse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alibri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„Schema de ajutor de minimis pentru sprijinirea dezvoltării microîntreprinderilor și întreprinderilor mici prin Programului Regional Sud-Muntenia 2021-2027”, aprobată prin Dispoziția nr. 5/12.01.2024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aprobate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constatării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727793D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8)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motive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restituire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primit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70705B13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HG nr. 873 din 6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iulie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2022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Fondul European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2162E75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atingerea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rezultat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indicatorii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suplimentari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specifici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apelului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)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aprobat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6A5266D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fac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uneia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situațiile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art. 65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(1)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(2)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2021/1.060,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afectează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devin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neeligibile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proporțional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neconformitate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7640760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9) </w:t>
      </w:r>
      <w:bookmarkStart w:id="2" w:name="_Hlk150364836"/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activităţilor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depăşi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data de 30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septembrie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2029.</w:t>
      </w:r>
      <w:bookmarkEnd w:id="2"/>
    </w:p>
    <w:p w14:paraId="075A9055" w14:textId="29D2FA13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1</w:t>
      </w:r>
      <w:r w:rsid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0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detaliate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începând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data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pe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stipulate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următoarele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excepții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:</w:t>
      </w:r>
    </w:p>
    <w:p w14:paraId="385FC42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a)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asistenței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financiare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minimă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menționată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capitolul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5.4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obligatorie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încheierii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; </w:t>
      </w:r>
    </w:p>
    <w:p w14:paraId="4CF5CE2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b)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încadrarea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categoria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IMM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financiar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nerambursabil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obligatorie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data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data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0B0EDC3E" w14:textId="03D17146" w:rsidR="00C14901" w:rsidRDefault="005C1AAD" w:rsidP="005C1AAD">
      <w:pPr>
        <w:spacing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c)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pragurile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plafoanele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forfetare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obligatorie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finalul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r w:rsidR="00C14901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inclusive</w:t>
      </w:r>
    </w:p>
    <w:p w14:paraId="2A865DE0" w14:textId="161BA273" w:rsidR="00D81D9B" w:rsidRPr="0005303A" w:rsidRDefault="00C14901" w:rsidP="005C1AAD">
      <w:pPr>
        <w:spacing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d) </w:t>
      </w:r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</w:t>
      </w:r>
      <w:proofErr w:type="spellStart"/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ncadrarea</w:t>
      </w:r>
      <w:proofErr w:type="spellEnd"/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statutul</w:t>
      </w:r>
      <w:proofErr w:type="spellEnd"/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societăți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societăți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cooperative,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înregistrate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scop fiscal,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târziu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prima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stat/de minimis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baza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schemei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aprobate</w:t>
      </w:r>
      <w:proofErr w:type="spellEnd"/>
      <w:r w:rsidR="005C1AAD"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0A0E9C48" w14:textId="618D1532" w:rsidR="00C14901" w:rsidRPr="009B2C78" w:rsidRDefault="00C14901" w:rsidP="00C14901">
      <w:pPr>
        <w:spacing w:line="360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1</w:t>
      </w:r>
      <w:r w:rsidR="0005303A"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1</w:t>
      </w:r>
      <w:r w:rsidRPr="0005303A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)</w:t>
      </w:r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r w:rsidR="00654592"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Cel târziu la</w:t>
      </w:r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finalul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etapei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facă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dovada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autorizării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codului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CAEN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a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solicitat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locul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9B2C78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0A8268D6" w14:textId="6D8E3DB6" w:rsidR="00C14901" w:rsidRPr="005C1AAD" w:rsidRDefault="00C14901" w:rsidP="005C1AAD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C14901" w:rsidRPr="005C1AAD" w:rsidSect="000050DF">
      <w:headerReference w:type="default" r:id="rId7"/>
      <w:footerReference w:type="default" r:id="rId8"/>
      <w:pgSz w:w="12240" w:h="15840"/>
      <w:pgMar w:top="1440" w:right="1440" w:bottom="1440" w:left="1440" w:header="360" w:footer="1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7258" w14:textId="77777777" w:rsidR="000050DF" w:rsidRDefault="000050DF" w:rsidP="00D81D9B">
      <w:pPr>
        <w:spacing w:after="0" w:line="240" w:lineRule="auto"/>
      </w:pPr>
      <w:r>
        <w:separator/>
      </w:r>
    </w:p>
  </w:endnote>
  <w:endnote w:type="continuationSeparator" w:id="0">
    <w:p w14:paraId="66F59641" w14:textId="77777777" w:rsidR="000050DF" w:rsidRDefault="000050DF" w:rsidP="00D8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DABE" w14:textId="0ECA6559" w:rsidR="00D81D9B" w:rsidRDefault="00D81D9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EBE69" wp14:editId="7A37B9B3">
          <wp:simplePos x="0" y="0"/>
          <wp:positionH relativeFrom="page">
            <wp:posOffset>129540</wp:posOffset>
          </wp:positionH>
          <wp:positionV relativeFrom="paragraph">
            <wp:posOffset>-146050</wp:posOffset>
          </wp:positionV>
          <wp:extent cx="7559675" cy="48133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74A0" w14:textId="77777777" w:rsidR="000050DF" w:rsidRDefault="000050DF" w:rsidP="00D81D9B">
      <w:pPr>
        <w:spacing w:after="0" w:line="240" w:lineRule="auto"/>
      </w:pPr>
      <w:r>
        <w:separator/>
      </w:r>
    </w:p>
  </w:footnote>
  <w:footnote w:type="continuationSeparator" w:id="0">
    <w:p w14:paraId="019661CB" w14:textId="77777777" w:rsidR="000050DF" w:rsidRDefault="000050DF" w:rsidP="00D81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C78C" w14:textId="6A2449C1" w:rsidR="00D81D9B" w:rsidRDefault="00D81D9B">
    <w:pPr>
      <w:pStyle w:val="Header"/>
    </w:pPr>
    <w:r w:rsidRPr="0096729F">
      <w:rPr>
        <w:rFonts w:ascii="Cambria" w:eastAsia="MS Mincho" w:hAnsi="Cambria" w:cs="Times New Roman"/>
        <w:noProof/>
      </w:rPr>
      <w:drawing>
        <wp:inline distT="0" distB="0" distL="0" distR="0" wp14:anchorId="0D2E5DD6" wp14:editId="294BD80C">
          <wp:extent cx="5943600" cy="530679"/>
          <wp:effectExtent l="0" t="0" r="0" b="3175"/>
          <wp:docPr id="699267540" name="Picture 699267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06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CD503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37CF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39ADB2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704E7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D3F6A1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4C020D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785C1E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994A3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89D2FC4"/>
    <w:multiLevelType w:val="hybridMultilevel"/>
    <w:tmpl w:val="E72AF1F4"/>
    <w:lvl w:ilvl="0" w:tplc="F49CCDBE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1B5650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603100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836250D"/>
    <w:multiLevelType w:val="multilevel"/>
    <w:tmpl w:val="B4023268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F9A1A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7DA303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9E9B77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689036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15654627">
    <w:abstractNumId w:val="11"/>
  </w:num>
  <w:num w:numId="2" w16cid:durableId="1679962073">
    <w:abstractNumId w:val="3"/>
  </w:num>
  <w:num w:numId="3" w16cid:durableId="1758792514">
    <w:abstractNumId w:val="7"/>
  </w:num>
  <w:num w:numId="4" w16cid:durableId="513882441">
    <w:abstractNumId w:val="13"/>
  </w:num>
  <w:num w:numId="5" w16cid:durableId="1474324949">
    <w:abstractNumId w:val="14"/>
  </w:num>
  <w:num w:numId="6" w16cid:durableId="1751074116">
    <w:abstractNumId w:val="6"/>
  </w:num>
  <w:num w:numId="7" w16cid:durableId="1948660765">
    <w:abstractNumId w:val="2"/>
  </w:num>
  <w:num w:numId="8" w16cid:durableId="1014577765">
    <w:abstractNumId w:val="8"/>
  </w:num>
  <w:num w:numId="9" w16cid:durableId="1580603816">
    <w:abstractNumId w:val="4"/>
  </w:num>
  <w:num w:numId="10" w16cid:durableId="1510831555">
    <w:abstractNumId w:val="5"/>
  </w:num>
  <w:num w:numId="11" w16cid:durableId="2020618679">
    <w:abstractNumId w:val="0"/>
  </w:num>
  <w:num w:numId="12" w16cid:durableId="2143577286">
    <w:abstractNumId w:val="10"/>
  </w:num>
  <w:num w:numId="13" w16cid:durableId="1468737512">
    <w:abstractNumId w:val="1"/>
  </w:num>
  <w:num w:numId="14" w16cid:durableId="341125869">
    <w:abstractNumId w:val="15"/>
  </w:num>
  <w:num w:numId="15" w16cid:durableId="1940411513">
    <w:abstractNumId w:val="12"/>
  </w:num>
  <w:num w:numId="16" w16cid:durableId="1718119883">
    <w:abstractNumId w:val="16"/>
  </w:num>
  <w:num w:numId="17" w16cid:durableId="17052074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9B"/>
    <w:rsid w:val="000050DF"/>
    <w:rsid w:val="0005303A"/>
    <w:rsid w:val="000C70A0"/>
    <w:rsid w:val="00172718"/>
    <w:rsid w:val="002F2C34"/>
    <w:rsid w:val="004564A2"/>
    <w:rsid w:val="00595242"/>
    <w:rsid w:val="005C1AAD"/>
    <w:rsid w:val="00654592"/>
    <w:rsid w:val="007F0E1D"/>
    <w:rsid w:val="007F1B05"/>
    <w:rsid w:val="00822ABB"/>
    <w:rsid w:val="008658F4"/>
    <w:rsid w:val="009349B9"/>
    <w:rsid w:val="0095074D"/>
    <w:rsid w:val="009B2C78"/>
    <w:rsid w:val="00B00BAE"/>
    <w:rsid w:val="00BC4E82"/>
    <w:rsid w:val="00C14901"/>
    <w:rsid w:val="00D278E8"/>
    <w:rsid w:val="00D81D9B"/>
    <w:rsid w:val="00DD614B"/>
    <w:rsid w:val="00DF6F35"/>
    <w:rsid w:val="00EE0863"/>
    <w:rsid w:val="00E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5F9BE"/>
  <w15:chartTrackingRefBased/>
  <w15:docId w15:val="{8F6AB694-BF5E-4A3F-AE44-1E2215F2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D9B"/>
  </w:style>
  <w:style w:type="paragraph" w:styleId="Footer">
    <w:name w:val="footer"/>
    <w:basedOn w:val="Normal"/>
    <w:link w:val="FooterChar"/>
    <w:uiPriority w:val="99"/>
    <w:unhideWhenUsed/>
    <w:rsid w:val="00D81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D9B"/>
  </w:style>
  <w:style w:type="paragraph" w:customStyle="1" w:styleId="Bodytext4">
    <w:name w:val="Body text (4)"/>
    <w:basedOn w:val="Normal"/>
    <w:link w:val="Bodytext40"/>
    <w:rsid w:val="00D81D9B"/>
    <w:pPr>
      <w:widowControl w:val="0"/>
      <w:shd w:val="clear" w:color="auto" w:fill="FFFFFF"/>
      <w:spacing w:before="580" w:after="260" w:line="244" w:lineRule="exact"/>
      <w:jc w:val="right"/>
    </w:pPr>
    <w:rPr>
      <w:rFonts w:ascii="Times New Roman" w:eastAsia="Times New Roman" w:hAnsi="Times New Roman" w:cs="Times New Roman"/>
      <w:b/>
      <w:bCs/>
      <w:i/>
      <w:iCs/>
      <w:color w:val="000000"/>
      <w:kern w:val="0"/>
      <w:lang w:val="ro-RO" w:eastAsia="ro-RO" w:bidi="ro-RO"/>
      <w14:ligatures w14:val="none"/>
    </w:rPr>
  </w:style>
  <w:style w:type="character" w:customStyle="1" w:styleId="Bodytext40">
    <w:name w:val="Body text (4)_"/>
    <w:basedOn w:val="DefaultParagraphFont"/>
    <w:link w:val="Bodytext4"/>
    <w:rsid w:val="00D81D9B"/>
    <w:rPr>
      <w:rFonts w:ascii="Times New Roman" w:eastAsia="Times New Roman" w:hAnsi="Times New Roman" w:cs="Times New Roman"/>
      <w:b/>
      <w:bCs/>
      <w:i/>
      <w:iCs/>
      <w:color w:val="000000"/>
      <w:kern w:val="0"/>
      <w:shd w:val="clear" w:color="auto" w:fill="FFFFFF"/>
      <w:lang w:val="ro-RO" w:eastAsia="ro-RO" w:bidi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5459</Words>
  <Characters>31118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8</cp:revision>
  <dcterms:created xsi:type="dcterms:W3CDTF">2024-02-27T16:24:00Z</dcterms:created>
  <dcterms:modified xsi:type="dcterms:W3CDTF">2024-02-29T16:04:00Z</dcterms:modified>
</cp:coreProperties>
</file>