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B07CBA"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Pr="00B07CBA">
        <w:rPr>
          <w:rStyle w:val="Bodytext2Spacing1pt"/>
          <w:rFonts w:asciiTheme="minorHAnsi" w:hAnsiTheme="minorHAnsi" w:cstheme="minorHAnsi"/>
          <w:sz w:val="24"/>
          <w:szCs w:val="24"/>
        </w:rPr>
        <w:t>nr....</w:t>
      </w:r>
    </w:p>
    <w:p w14:paraId="14ED1936" w14:textId="77777777" w:rsidR="00B17883" w:rsidRPr="00B07CBA"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3FEEAA01"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finanţării/Lider de parteneriat,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57936654"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termenul "beneficiar"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9 din </w:t>
      </w:r>
      <w:r w:rsidR="00D81165" w:rsidRPr="00B07CBA">
        <w:rPr>
          <w:color w:val="auto"/>
        </w:rPr>
        <w:t xml:space="preserve">Regulamentul (UE) 2021/1.060 </w:t>
      </w:r>
      <w:r w:rsidRPr="00B07CBA">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4CC98E50"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privind gestionarea financiară a fondurilor europene pentru </w:t>
      </w:r>
      <w:r w:rsidRPr="00B07CBA">
        <w:rPr>
          <w:rFonts w:asciiTheme="minorHAnsi" w:hAnsiTheme="minorHAnsi" w:cstheme="minorHAnsi"/>
          <w:sz w:val="24"/>
          <w:szCs w:val="24"/>
        </w:rPr>
        <w:lastRenderedPageBreak/>
        <w:t>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4B07BA2F" w14:textId="77777777" w:rsidR="00076990" w:rsidRDefault="00076990"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B07CBA"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lastRenderedPageBreak/>
        <w:t>Condiţii generale</w:t>
      </w: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5E04BE1F"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 respectiv de la data semnării de către AM, după ce acesta a fost semnat, în prealabil, de către Beneficiar/Liderul de parteneriat.</w:t>
      </w:r>
    </w:p>
    <w:p w14:paraId="741FBF8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Perioada de implementare a proiectului este de . . . . . . . . . . luni de la data semnării contractului de finanţare, respectiv între data de . . . . . . . . . . [z/l/a] şi . . . . . . . . . . [z/l/a] . . . . . . . . . ., la care se adaugă, dacă este cazul, şi perioada de desfăşurare a activităţilor proiectului înainte de semnarea contractului de finanţare, conform regulilor de eligibilitate a cheltuielilor.</w:t>
      </w:r>
    </w:p>
    <w:p w14:paraId="0102D7D7"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Perioada de implementare a proiectului poate fi prelungită prin acordul părţilor, în conformitate cu prevederile </w:t>
      </w:r>
      <w:hyperlink r:id="rId8" w:anchor="p-529118177" w:tgtFrame="_blank" w:history="1">
        <w:r w:rsidRPr="00B07CBA">
          <w:rPr>
            <w:rFonts w:ascii="Calibri" w:eastAsia="Times New Roman" w:hAnsi="Calibri" w:cs="Calibri"/>
            <w:color w:val="1A86B6"/>
            <w:u w:val="single"/>
            <w:lang w:eastAsia="en-US" w:bidi="ar-SA"/>
          </w:rPr>
          <w:t>art. 10</w:t>
        </w:r>
      </w:hyperlink>
      <w:r w:rsidRPr="00B07CBA">
        <w:rPr>
          <w:rFonts w:ascii="Calibri" w:eastAsia="Times New Roman" w:hAnsi="Calibri" w:cs="Calibri"/>
          <w:color w:val="444444"/>
          <w:lang w:eastAsia="en-US" w:bidi="ar-SA"/>
        </w:rPr>
        <w:t>, cu încadrare în perioada de implementare maximă stabilită în Ghidul solicitantului, dacă a fost prevăzută, fără ca aceasta să depăşească data de 31 decembrie 2029.</w:t>
      </w:r>
    </w:p>
    <w:p w14:paraId="651EFF16" w14:textId="76FEA564"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9"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10"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1"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Beneficiarul are obligaţia asigurării sustenabilităţii/durabilităţii proiectului, în condiţiile şi pentru perioada stabilită de AM/OI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2"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3"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4"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852C3E" w:rsidRPr="00B07CBA">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0BA1CEE3" w14:textId="77777777" w:rsidR="00852C3E" w:rsidRPr="00B07CBA" w:rsidRDefault="00852C3E" w:rsidP="00C2677E">
      <w:pPr>
        <w:tabs>
          <w:tab w:val="left" w:pos="2649"/>
        </w:tabs>
        <w:rPr>
          <w:sz w:val="14"/>
          <w:szCs w:val="14"/>
        </w:rPr>
      </w:pPr>
    </w:p>
    <w:p w14:paraId="3628E90E" w14:textId="77777777" w:rsidR="00852C3E" w:rsidRPr="00B07CBA" w:rsidRDefault="00852C3E" w:rsidP="00C2677E">
      <w:pPr>
        <w:tabs>
          <w:tab w:val="left" w:pos="2649"/>
        </w:tabs>
        <w:rPr>
          <w:sz w:val="14"/>
          <w:szCs w:val="14"/>
        </w:rPr>
      </w:pPr>
    </w:p>
    <w:p w14:paraId="3940CA2D" w14:textId="77777777" w:rsidR="00852C3E" w:rsidRDefault="00852C3E" w:rsidP="00C2677E">
      <w:pPr>
        <w:tabs>
          <w:tab w:val="left" w:pos="2649"/>
        </w:tabs>
        <w:rPr>
          <w:sz w:val="14"/>
          <w:szCs w:val="14"/>
        </w:rPr>
      </w:pPr>
    </w:p>
    <w:p w14:paraId="4973B75E" w14:textId="77777777" w:rsidR="00076990" w:rsidRDefault="00076990" w:rsidP="00C2677E">
      <w:pPr>
        <w:tabs>
          <w:tab w:val="left" w:pos="2649"/>
        </w:tabs>
        <w:rPr>
          <w:sz w:val="14"/>
          <w:szCs w:val="14"/>
        </w:rPr>
      </w:pPr>
    </w:p>
    <w:p w14:paraId="17E103C7" w14:textId="77777777" w:rsidR="00076990" w:rsidRDefault="00076990" w:rsidP="00C2677E">
      <w:pPr>
        <w:tabs>
          <w:tab w:val="left" w:pos="2649"/>
        </w:tabs>
        <w:rPr>
          <w:sz w:val="14"/>
          <w:szCs w:val="14"/>
        </w:rPr>
      </w:pPr>
    </w:p>
    <w:p w14:paraId="64069134" w14:textId="77777777" w:rsidR="00076990" w:rsidRDefault="00076990" w:rsidP="00C2677E">
      <w:pPr>
        <w:tabs>
          <w:tab w:val="left" w:pos="2649"/>
        </w:tabs>
        <w:rPr>
          <w:sz w:val="14"/>
          <w:szCs w:val="14"/>
        </w:rPr>
      </w:pPr>
    </w:p>
    <w:p w14:paraId="16995D8D" w14:textId="77777777" w:rsidR="00076990" w:rsidRDefault="00076990" w:rsidP="00C2677E">
      <w:pPr>
        <w:tabs>
          <w:tab w:val="left" w:pos="2649"/>
        </w:tabs>
        <w:rPr>
          <w:sz w:val="14"/>
          <w:szCs w:val="14"/>
        </w:rPr>
      </w:pPr>
    </w:p>
    <w:p w14:paraId="5A21897D" w14:textId="77777777" w:rsidR="00076990" w:rsidRDefault="00076990" w:rsidP="00C2677E">
      <w:pPr>
        <w:tabs>
          <w:tab w:val="left" w:pos="2649"/>
        </w:tabs>
        <w:rPr>
          <w:sz w:val="14"/>
          <w:szCs w:val="14"/>
        </w:rPr>
      </w:pPr>
    </w:p>
    <w:p w14:paraId="62A2E0DE" w14:textId="77777777" w:rsidR="00076990" w:rsidRDefault="00076990" w:rsidP="00C2677E">
      <w:pPr>
        <w:tabs>
          <w:tab w:val="left" w:pos="2649"/>
        </w:tabs>
        <w:rPr>
          <w:sz w:val="14"/>
          <w:szCs w:val="14"/>
        </w:rPr>
      </w:pPr>
    </w:p>
    <w:p w14:paraId="29EE9586" w14:textId="77777777" w:rsidR="00076990" w:rsidRDefault="00076990" w:rsidP="00C2677E">
      <w:pPr>
        <w:tabs>
          <w:tab w:val="left" w:pos="2649"/>
        </w:tabs>
        <w:rPr>
          <w:sz w:val="14"/>
          <w:szCs w:val="14"/>
        </w:rPr>
      </w:pPr>
    </w:p>
    <w:p w14:paraId="13EA7C90" w14:textId="77777777" w:rsidR="00076990" w:rsidRDefault="00076990" w:rsidP="00C2677E">
      <w:pPr>
        <w:tabs>
          <w:tab w:val="left" w:pos="2649"/>
        </w:tabs>
        <w:rPr>
          <w:sz w:val="14"/>
          <w:szCs w:val="14"/>
        </w:rPr>
      </w:pPr>
    </w:p>
    <w:p w14:paraId="51744231" w14:textId="77777777" w:rsidR="00076990" w:rsidRDefault="00076990" w:rsidP="00C2677E">
      <w:pPr>
        <w:tabs>
          <w:tab w:val="left" w:pos="2649"/>
        </w:tabs>
        <w:rPr>
          <w:sz w:val="14"/>
          <w:szCs w:val="14"/>
        </w:rPr>
      </w:pPr>
    </w:p>
    <w:p w14:paraId="7A35A80E" w14:textId="77777777" w:rsidR="00076990" w:rsidRDefault="00076990" w:rsidP="00C2677E">
      <w:pPr>
        <w:tabs>
          <w:tab w:val="left" w:pos="2649"/>
        </w:tabs>
        <w:rPr>
          <w:sz w:val="14"/>
          <w:szCs w:val="14"/>
        </w:rPr>
      </w:pPr>
    </w:p>
    <w:p w14:paraId="13FA8216" w14:textId="77777777" w:rsidR="00076990" w:rsidRDefault="00076990" w:rsidP="00C2677E">
      <w:pPr>
        <w:tabs>
          <w:tab w:val="left" w:pos="2649"/>
        </w:tabs>
        <w:rPr>
          <w:sz w:val="14"/>
          <w:szCs w:val="14"/>
        </w:rPr>
      </w:pPr>
    </w:p>
    <w:p w14:paraId="6E530F32" w14:textId="77777777" w:rsidR="00076990" w:rsidRDefault="00076990" w:rsidP="00C2677E">
      <w:pPr>
        <w:tabs>
          <w:tab w:val="left" w:pos="2649"/>
        </w:tabs>
        <w:rPr>
          <w:sz w:val="14"/>
          <w:szCs w:val="14"/>
        </w:rPr>
      </w:pPr>
    </w:p>
    <w:p w14:paraId="1CFDC6BF" w14:textId="77777777" w:rsidR="00076990" w:rsidRDefault="00076990" w:rsidP="00C2677E">
      <w:pPr>
        <w:tabs>
          <w:tab w:val="left" w:pos="2649"/>
        </w:tabs>
        <w:rPr>
          <w:sz w:val="14"/>
          <w:szCs w:val="14"/>
        </w:rPr>
      </w:pPr>
    </w:p>
    <w:p w14:paraId="73C29058" w14:textId="77777777" w:rsidR="00076990" w:rsidRPr="00B07CBA" w:rsidRDefault="00076990" w:rsidP="00C2677E">
      <w:pPr>
        <w:tabs>
          <w:tab w:val="left" w:pos="2649"/>
        </w:tabs>
        <w:rPr>
          <w:sz w:val="14"/>
          <w:szCs w:val="14"/>
        </w:rPr>
      </w:pPr>
    </w:p>
    <w:p w14:paraId="55F15592" w14:textId="77777777" w:rsidR="00852C3E" w:rsidRPr="00B07CBA" w:rsidRDefault="00852C3E" w:rsidP="00C2677E">
      <w:pPr>
        <w:tabs>
          <w:tab w:val="left" w:pos="2649"/>
        </w:tabs>
        <w:rPr>
          <w:sz w:val="14"/>
          <w:szCs w:val="14"/>
        </w:rPr>
      </w:pPr>
    </w:p>
    <w:p w14:paraId="05F01960" w14:textId="0598E762" w:rsidR="00B17883" w:rsidRPr="00B07CBA" w:rsidRDefault="00852C3E" w:rsidP="00C2677E">
      <w:pPr>
        <w:tabs>
          <w:tab w:val="left" w:pos="2649"/>
        </w:tabs>
      </w:pPr>
      <w:r w:rsidRPr="00B07CBA">
        <w:rPr>
          <w:sz w:val="14"/>
          <w:szCs w:val="14"/>
        </w:rPr>
        <w:t xml:space="preserve">1 </w:t>
      </w:r>
      <w:r w:rsidRPr="00B07CBA">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B07CBA">
        <w:t xml:space="preserve"> </w:t>
      </w:r>
    </w:p>
    <w:p w14:paraId="064B7283" w14:textId="77777777" w:rsidR="00173AB4" w:rsidRPr="00B07CBA" w:rsidRDefault="00173AB4" w:rsidP="00076990">
      <w:pPr>
        <w:jc w:val="both"/>
        <w:rPr>
          <w:rFonts w:asciiTheme="minorHAnsi" w:hAnsiTheme="minorHAnsi" w:cstheme="minorHAnsi"/>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0646BA">
          <w:headerReference w:type="even" r:id="rId15"/>
          <w:headerReference w:type="default" r:id="rId16"/>
          <w:footerReference w:type="even" r:id="rId17"/>
          <w:footerReference w:type="default" r:id="rId18"/>
          <w:headerReference w:type="first" r:id="rId19"/>
          <w:footerReference w:type="first" r:id="rId20"/>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77777777"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p>
    <w:p w14:paraId="2A6654F0" w14:textId="77777777" w:rsidR="00B17883" w:rsidRPr="00B07CBA" w:rsidRDefault="00173F36">
      <w:pPr>
        <w:pStyle w:val="Bodytext20"/>
        <w:numPr>
          <w:ilvl w:val="0"/>
          <w:numId w:val="7"/>
        </w:numPr>
        <w:shd w:val="clear" w:color="auto" w:fill="auto"/>
        <w:tabs>
          <w:tab w:val="left" w:pos="87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legislaţia naţională şi europeană aplicabilă;</w:t>
      </w:r>
    </w:p>
    <w:p w14:paraId="32D544C5" w14:textId="77777777" w:rsidR="00B17883" w:rsidRPr="00B07CBA" w:rsidRDefault="00173F36">
      <w:pPr>
        <w:pStyle w:val="Bodytext20"/>
        <w:numPr>
          <w:ilvl w:val="0"/>
          <w:numId w:val="7"/>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Ghidul solicitantului;</w:t>
      </w:r>
    </w:p>
    <w:p w14:paraId="3ABBFB47" w14:textId="77777777" w:rsidR="00B17883" w:rsidRPr="00B07CBA" w:rsidRDefault="00173F36">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B07CBA" w:rsidRDefault="00C2677E">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77777777" w:rsidR="00B17883" w:rsidRPr="00B07CBA" w:rsidRDefault="00173F36">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B07CBA" w:rsidRDefault="00173F36">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Prefinanţarea se justifică în termenele şi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19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27A35BB3" w14:textId="77777777" w:rsidR="00B17883" w:rsidRPr="00B07CBA" w:rsidRDefault="00173F36">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Recuperarea prefinanţării se realizează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20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787A5D5F" w14:textId="29842BF2"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lastRenderedPageBreak/>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Rambursarea sau plata se va realiza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conformitate cu prevederile legale, pe baza cererilor de rambursare/plată transmise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B07CBA">
        <w:rPr>
          <w:rStyle w:val="Bodytext21"/>
          <w:rFonts w:asciiTheme="minorHAnsi" w:hAnsiTheme="minorHAnsi" w:cstheme="minorHAnsi"/>
          <w:sz w:val="24"/>
          <w:szCs w:val="24"/>
        </w:rPr>
        <w:t xml:space="preserve">Ordonanţei de urgentă a Guvernului nr. 66/2011 </w:t>
      </w:r>
      <w:r w:rsidRPr="00B07CBA">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4F3B662D" w14:textId="39B7A77C" w:rsidR="00B17883" w:rsidRPr="00B07CBA" w:rsidRDefault="00173F36">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Autorizarea cheltuielilor/Efectuarea plăţilor se realizează de către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în legislaţia aplicabilă şi cu respectarea planului de monitorizare a proiectului, prevăzut în </w:t>
      </w: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B07CBA" w:rsidRDefault="00173F36">
      <w:pPr>
        <w:pStyle w:val="Bodytext20"/>
        <w:numPr>
          <w:ilvl w:val="0"/>
          <w:numId w:val="10"/>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B07CBA">
        <w:rPr>
          <w:rFonts w:asciiTheme="minorHAnsi" w:hAnsiTheme="minorHAnsi" w:cstheme="minorHAnsi"/>
          <w:sz w:val="24"/>
          <w:szCs w:val="24"/>
          <w:lang w:eastAsia="en-US" w:bidi="en-US"/>
        </w:rPr>
        <w:t xml:space="preserve">art. </w:t>
      </w:r>
      <w:r w:rsidR="00C20316" w:rsidRPr="00B07CBA">
        <w:rPr>
          <w:rFonts w:asciiTheme="minorHAnsi" w:hAnsiTheme="minorHAnsi" w:cstheme="minorHAnsi"/>
          <w:sz w:val="24"/>
          <w:szCs w:val="24"/>
        </w:rPr>
        <w:t>2 alin. (2) şi (3). Î</w:t>
      </w:r>
      <w:r w:rsidRPr="00B07CBA">
        <w:rPr>
          <w:rFonts w:asciiTheme="minorHAnsi" w:hAnsiTheme="minorHAnsi" w:cstheme="minorHAnsi"/>
          <w:sz w:val="24"/>
          <w:szCs w:val="24"/>
        </w:rPr>
        <w:t>n situaţia în care constată că implementarea activităţilor proiectului prevăzute a fi</w:t>
      </w:r>
      <w:r w:rsidR="00C06861" w:rsidRPr="00B07CBA">
        <w:rPr>
          <w:rFonts w:asciiTheme="minorHAnsi" w:hAnsiTheme="minorHAnsi" w:cstheme="minorHAnsi"/>
          <w:sz w:val="24"/>
          <w:szCs w:val="24"/>
        </w:rPr>
        <w:t xml:space="preserve"> </w:t>
      </w:r>
      <w:r w:rsidRPr="00B07CBA">
        <w:rPr>
          <w:rFonts w:asciiTheme="minorHAnsi" w:hAnsiTheme="minorHAnsi" w:cstheme="minorHAnsi"/>
          <w:sz w:val="24"/>
          <w:szCs w:val="24"/>
        </w:rPr>
        <w:t>realizate după semnare nu a început în termen de</w:t>
      </w:r>
      <w:r w:rsidRPr="00B07CBA">
        <w:rPr>
          <w:rFonts w:asciiTheme="minorHAnsi" w:hAnsiTheme="minorHAnsi" w:cstheme="minorHAnsi"/>
          <w:sz w:val="24"/>
          <w:szCs w:val="24"/>
        </w:rPr>
        <w:tab/>
      </w:r>
      <w:r w:rsidR="00982656" w:rsidRPr="00B07CBA">
        <w:rPr>
          <w:rFonts w:asciiTheme="minorHAnsi" w:hAnsiTheme="minorHAnsi" w:cstheme="minorHAnsi"/>
          <w:sz w:val="24"/>
          <w:szCs w:val="24"/>
        </w:rPr>
        <w:t xml:space="preserve">12 luni </w:t>
      </w:r>
      <w:r w:rsidRPr="00B07CBA">
        <w:rPr>
          <w:rFonts w:asciiTheme="minorHAnsi" w:hAnsiTheme="minorHAnsi" w:cstheme="minorHAnsi"/>
          <w:sz w:val="24"/>
          <w:szCs w:val="24"/>
        </w:rPr>
        <w:t>de la data</w:t>
      </w:r>
      <w:r w:rsidR="00491E51"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specificată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(2),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poate dispune rezilierea contractului de finanţare.</w:t>
      </w:r>
    </w:p>
    <w:p w14:paraId="393E14AC" w14:textId="2F11E0FF"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poate solicita în scris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fie furnizat în baza şi în vederea executării clauzelor prezentului contract de finanţare şi a legislaţiei aplicabile.</w:t>
      </w:r>
      <w:r w:rsidR="00C2677E" w:rsidRPr="00B07CBA">
        <w:rPr>
          <w:rFonts w:asciiTheme="minorHAnsi" w:hAnsiTheme="minorHAnsi" w:cstheme="minorHAnsi"/>
          <w:sz w:val="24"/>
          <w:szCs w:val="24"/>
        </w:rPr>
        <w:t xml:space="preserve"> </w:t>
      </w:r>
    </w:p>
    <w:p w14:paraId="1DABE53A"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Hotărârea Guvernului nr. 829/2022</w:t>
      </w:r>
      <w:r w:rsidRPr="00B07CBA">
        <w:rPr>
          <w:rFonts w:asciiTheme="minorHAnsi" w:hAnsiTheme="minorHAnsi" w:cstheme="minorHAnsi"/>
          <w:sz w:val="24"/>
          <w:szCs w:val="24"/>
        </w:rPr>
        <w:t xml:space="preserve"> pentru aprobarea Normelor metodologice de aplicare a </w:t>
      </w:r>
      <w:r w:rsidRPr="00B07CBA">
        <w:rPr>
          <w:rStyle w:val="Bodytext21"/>
          <w:rFonts w:asciiTheme="minorHAnsi" w:hAnsiTheme="minorHAnsi" w:cstheme="minorHAnsi"/>
          <w:sz w:val="24"/>
          <w:szCs w:val="24"/>
        </w:rPr>
        <w:t>Ordonanţei de 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au obligaţia de a pune la dispoziţia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sau a oricărui alt organism abilitat de lege,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(2)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precum şi să asigure condiţiile pentru efectuarea verificărilor la faţa locului.</w:t>
      </w:r>
    </w:p>
    <w:p w14:paraId="2D960FBB" w14:textId="3F9ABF91"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 xml:space="preserve">adecvate,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(1) din </w:t>
      </w:r>
      <w:r w:rsidRPr="00B07CBA">
        <w:rPr>
          <w:rStyle w:val="Bodytext21"/>
          <w:rFonts w:asciiTheme="minorHAnsi" w:hAnsiTheme="minorHAnsi" w:cstheme="minorHAnsi"/>
          <w:sz w:val="24"/>
          <w:szCs w:val="24"/>
        </w:rPr>
        <w:t>Ordonanţa de urgentă a Guvernului nr. 133/2021</w:t>
      </w:r>
      <w:r w:rsidR="001B0964" w:rsidRPr="00B07CBA">
        <w:rPr>
          <w:rFonts w:asciiTheme="minorHAnsi" w:hAnsiTheme="minorHAnsi" w:cstheme="minorHAnsi"/>
          <w:sz w:val="24"/>
          <w:szCs w:val="24"/>
        </w:rPr>
        <w:t>. Î</w:t>
      </w:r>
      <w:r w:rsidRPr="00B07CBA">
        <w:rPr>
          <w:rFonts w:asciiTheme="minorHAnsi" w:hAnsiTheme="minorHAnsi" w:cstheme="minorHAnsi"/>
          <w:sz w:val="24"/>
          <w:szCs w:val="24"/>
        </w:rPr>
        <w:t xml:space="preserve">n situaţia arhivării electronice potrivit prevederilor </w:t>
      </w:r>
      <w:r w:rsidRPr="00B07CBA">
        <w:rPr>
          <w:rStyle w:val="Bodytext21"/>
          <w:rFonts w:asciiTheme="minorHAnsi" w:hAnsiTheme="minorHAnsi" w:cstheme="minorHAnsi"/>
          <w:sz w:val="24"/>
          <w:szCs w:val="24"/>
        </w:rPr>
        <w:t>Legii nr. 135/2007</w:t>
      </w:r>
      <w:r w:rsidRPr="00B07CBA">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unei măsuri de ajutor de stat sau 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B07CBA">
        <w:rPr>
          <w:rStyle w:val="Bodytext21"/>
          <w:rFonts w:asciiTheme="minorHAnsi" w:hAnsiTheme="minorHAnsi" w:cstheme="minorHAnsi"/>
          <w:sz w:val="24"/>
          <w:szCs w:val="24"/>
        </w:rPr>
        <w:t>Ordonanţei de urgentă a Guvernului nr. 77/2014</w:t>
      </w:r>
      <w:r w:rsidRPr="00B07CBA">
        <w:rPr>
          <w:rFonts w:asciiTheme="minorHAnsi" w:hAnsiTheme="minorHAnsi" w:cstheme="minorHAnsi"/>
          <w:sz w:val="24"/>
          <w:szCs w:val="24"/>
        </w:rPr>
        <w:t xml:space="preserve"> privind procedurile naţionale în domeniul ajutorului de stat, precum şi pentru modificarea şi completarea </w:t>
      </w:r>
      <w:r w:rsidR="001B0964" w:rsidRPr="00B07CBA">
        <w:rPr>
          <w:rStyle w:val="Bodytext21"/>
          <w:rFonts w:asciiTheme="minorHAnsi" w:hAnsiTheme="minorHAnsi" w:cstheme="minorHAnsi"/>
          <w:sz w:val="24"/>
          <w:szCs w:val="24"/>
        </w:rPr>
        <w:t xml:space="preserve">Legii concurentei nr. 21/1996 </w:t>
      </w:r>
      <w:r w:rsidRPr="00B07CBA">
        <w:rPr>
          <w:rFonts w:asciiTheme="minorHAnsi" w:hAnsiTheme="minorHAnsi" w:cstheme="minorHAnsi"/>
          <w:sz w:val="24"/>
          <w:szCs w:val="24"/>
        </w:rPr>
        <w:t xml:space="preserve">aprobată cu modificări şi completări prin </w:t>
      </w:r>
      <w:r w:rsidR="001B0964" w:rsidRPr="00B07CBA">
        <w:rPr>
          <w:rStyle w:val="Bodytext21"/>
          <w:rFonts w:asciiTheme="minorHAnsi" w:hAnsiTheme="minorHAnsi" w:cstheme="minorHAnsi"/>
          <w:sz w:val="24"/>
          <w:szCs w:val="24"/>
        </w:rPr>
        <w:t xml:space="preserve">Legea nr. 20/2015 </w:t>
      </w:r>
      <w:r w:rsidRPr="00B07CBA">
        <w:rPr>
          <w:rFonts w:asciiTheme="minorHAnsi" w:hAnsiTheme="minorHAnsi" w:cstheme="minorHAnsi"/>
          <w:sz w:val="24"/>
          <w:szCs w:val="24"/>
        </w:rPr>
        <w:t>cu modificările şi completările ulterioare.</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B07CBA">
        <w:rPr>
          <w:rFonts w:asciiTheme="minorHAnsi" w:hAnsiTheme="minorHAnsi" w:cstheme="minorHAnsi"/>
          <w:sz w:val="24"/>
          <w:szCs w:val="24"/>
        </w:rPr>
        <w:t xml:space="preserve"> </w:t>
      </w:r>
    </w:p>
    <w:p w14:paraId="4540DADB" w14:textId="568B66BF" w:rsidR="00B17883" w:rsidRPr="00B07CBA" w:rsidRDefault="00173F36">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documentele justificative ce însoţesc cererea de rambursare/plată/prefinanţare, spre a fi verificate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vederea efectuării rambursării/plăţii.</w:t>
      </w:r>
      <w:r w:rsidR="00893CC5" w:rsidRPr="00B07CBA">
        <w:rPr>
          <w:rFonts w:asciiTheme="minorHAnsi" w:hAnsiTheme="minorHAnsi" w:cstheme="minorHAnsi"/>
          <w:sz w:val="24"/>
          <w:szCs w:val="24"/>
        </w:rPr>
        <w:t xml:space="preserve"> </w:t>
      </w:r>
    </w:p>
    <w:p w14:paraId="6418E23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3CF19444"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a verificării procedurii de achiziţie.</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309AB574"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comunica cu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w:t>
      </w:r>
      <w:r w:rsidRPr="00B07CBA">
        <w:rPr>
          <w:rFonts w:asciiTheme="minorHAnsi" w:hAnsiTheme="minorHAnsi" w:cstheme="minorHAnsi"/>
          <w:sz w:val="24"/>
          <w:szCs w:val="24"/>
        </w:rPr>
        <w:lastRenderedPageBreak/>
        <w:t xml:space="preserve">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B07CBA">
        <w:rPr>
          <w:rFonts w:asciiTheme="minorHAnsi" w:hAnsiTheme="minorHAnsi" w:cstheme="minorHAnsi"/>
          <w:sz w:val="24"/>
          <w:szCs w:val="24"/>
        </w:rPr>
        <w:t xml:space="preserve">  </w:t>
      </w:r>
    </w:p>
    <w:p w14:paraId="7166FC28" w14:textId="771F406D"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furnizarea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 alin. (6) din </w:t>
      </w:r>
      <w:r w:rsidR="00CD5E3B" w:rsidRPr="00B07CBA">
        <w:rPr>
          <w:rStyle w:val="Bodytext21"/>
          <w:rFonts w:asciiTheme="minorHAnsi" w:hAnsiTheme="minorHAnsi" w:cstheme="minorHAnsi"/>
          <w:sz w:val="24"/>
          <w:szCs w:val="24"/>
        </w:rPr>
        <w:t xml:space="preserve">Directiva UE </w:t>
      </w:r>
      <w:r w:rsidRPr="00B07CBA">
        <w:rPr>
          <w:rStyle w:val="Bodytext21"/>
          <w:rFonts w:asciiTheme="minorHAnsi" w:hAnsiTheme="minorHAnsi" w:cstheme="minorHAnsi"/>
          <w:sz w:val="24"/>
          <w:szCs w:val="24"/>
        </w:rPr>
        <w:t>849</w:t>
      </w:r>
      <w:r w:rsidR="00CD5E3B" w:rsidRPr="00B07CBA">
        <w:rPr>
          <w:rStyle w:val="Bodytext21"/>
          <w:rFonts w:asciiTheme="minorHAnsi" w:hAnsiTheme="minorHAnsi" w:cstheme="minorHAnsi"/>
          <w:sz w:val="24"/>
          <w:szCs w:val="24"/>
        </w:rPr>
        <w:t>/2015</w:t>
      </w:r>
      <w:r w:rsidRPr="00B07CBA">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B07CBA">
        <w:rPr>
          <w:rStyle w:val="Bodytext21"/>
          <w:rFonts w:asciiTheme="minorHAnsi" w:hAnsiTheme="minorHAnsi" w:cstheme="minorHAnsi"/>
          <w:sz w:val="24"/>
          <w:szCs w:val="24"/>
        </w:rPr>
        <w:t>Regulament</w:t>
      </w:r>
      <w:r w:rsidR="00CD5E3B" w:rsidRPr="00B07CBA">
        <w:rPr>
          <w:rStyle w:val="Bodytext21"/>
          <w:rFonts w:asciiTheme="minorHAnsi" w:hAnsiTheme="minorHAnsi" w:cstheme="minorHAnsi"/>
          <w:sz w:val="24"/>
          <w:szCs w:val="24"/>
        </w:rPr>
        <w:t>ului UE</w:t>
      </w:r>
      <w:r w:rsidRPr="00B07CBA">
        <w:rPr>
          <w:rStyle w:val="Bodytext21"/>
          <w:rFonts w:asciiTheme="minorHAnsi" w:hAnsiTheme="minorHAnsi" w:cstheme="minorHAnsi"/>
          <w:sz w:val="24"/>
          <w:szCs w:val="24"/>
        </w:rPr>
        <w:t xml:space="preserve"> nr. 648/2012</w:t>
      </w:r>
      <w:r w:rsidRPr="00B07CBA">
        <w:rPr>
          <w:rFonts w:asciiTheme="minorHAnsi" w:hAnsiTheme="minorHAnsi" w:cstheme="minorHAnsi"/>
          <w:sz w:val="24"/>
          <w:szCs w:val="24"/>
        </w:rPr>
        <w:t xml:space="preserve"> al Parlamentului European şi al Consiliului şi de abrogare a </w:t>
      </w:r>
      <w:r w:rsidRPr="00B07CBA">
        <w:rPr>
          <w:rStyle w:val="Bodytext21"/>
          <w:rFonts w:asciiTheme="minorHAnsi" w:hAnsiTheme="minorHAnsi" w:cstheme="minorHAnsi"/>
          <w:sz w:val="24"/>
          <w:szCs w:val="24"/>
        </w:rPr>
        <w:t>Directivei 2005/60/CE</w:t>
      </w:r>
      <w:r w:rsidRPr="00B07CBA">
        <w:rPr>
          <w:rFonts w:asciiTheme="minorHAnsi" w:hAnsiTheme="minorHAnsi" w:cstheme="minorHAnsi"/>
          <w:sz w:val="24"/>
          <w:szCs w:val="24"/>
        </w:rPr>
        <w:t xml:space="preserve"> a Parlamentului European şi a Consiliului şi a </w:t>
      </w:r>
      <w:r w:rsidRPr="00B07CBA">
        <w:rPr>
          <w:rStyle w:val="Bodytext21"/>
          <w:rFonts w:asciiTheme="minorHAnsi" w:hAnsiTheme="minorHAnsi" w:cstheme="minorHAnsi"/>
          <w:sz w:val="24"/>
          <w:szCs w:val="24"/>
        </w:rPr>
        <w:t>Directivei 2006/70/CE</w:t>
      </w:r>
      <w:r w:rsidRPr="00B07CBA">
        <w:rPr>
          <w:rFonts w:asciiTheme="minorHAnsi" w:hAnsiTheme="minorHAnsi" w:cstheme="minorHAnsi"/>
          <w:sz w:val="24"/>
          <w:szCs w:val="24"/>
        </w:rPr>
        <w:t xml:space="preserve"> a Comisiei.</w:t>
      </w:r>
      <w:r w:rsidR="00893CC5" w:rsidRPr="00B07CBA">
        <w:rPr>
          <w:rFonts w:asciiTheme="minorHAnsi" w:hAnsiTheme="minorHAnsi" w:cstheme="minorHAnsi"/>
          <w:sz w:val="24"/>
          <w:szCs w:val="24"/>
        </w:rPr>
        <w:t xml:space="preserve"> </w:t>
      </w:r>
    </w:p>
    <w:p w14:paraId="546C90EE" w14:textId="27A27D96" w:rsidR="00B17883" w:rsidRPr="00B07CBA" w:rsidRDefault="00173F36">
      <w:pPr>
        <w:pStyle w:val="Bodytext20"/>
        <w:numPr>
          <w:ilvl w:val="0"/>
          <w:numId w:val="10"/>
        </w:numPr>
        <w:shd w:val="clear" w:color="auto" w:fill="auto"/>
        <w:tabs>
          <w:tab w:val="left" w:pos="515"/>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parteneriat/Partenerii are/au obligaţia de a notifica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starea de insolvenţă/ faliment/încadrarea întreprinderii ca "întreprindere în dificultate" şi</w:t>
      </w:r>
      <w:r w:rsidR="00CD5E3B" w:rsidRPr="00B07CBA">
        <w:rPr>
          <w:rFonts w:asciiTheme="minorHAnsi" w:hAnsiTheme="minorHAnsi" w:cstheme="minorHAnsi"/>
          <w:sz w:val="24"/>
          <w:szCs w:val="24"/>
        </w:rPr>
        <w:t xml:space="preserve"> altele asemenea, în termen </w:t>
      </w:r>
      <w:r w:rsidR="00CD5E3B" w:rsidRPr="00B07CBA">
        <w:rPr>
          <w:rFonts w:asciiTheme="minorHAnsi" w:hAnsiTheme="minorHAnsi" w:cstheme="minorHAnsi"/>
          <w:sz w:val="24"/>
          <w:szCs w:val="24"/>
        </w:rPr>
        <w:lastRenderedPageBreak/>
        <w:t xml:space="preserve">de </w:t>
      </w:r>
      <w:r w:rsidR="00706E20" w:rsidRPr="00B07CBA">
        <w:rPr>
          <w:rFonts w:asciiTheme="minorHAnsi" w:hAnsiTheme="minorHAnsi" w:cstheme="minorHAnsi"/>
          <w:sz w:val="24"/>
          <w:szCs w:val="24"/>
        </w:rPr>
        <w:t xml:space="preserve">15 zile </w:t>
      </w:r>
      <w:r w:rsidR="00526F2B" w:rsidRPr="00B07CBA">
        <w:rPr>
          <w:rFonts w:asciiTheme="minorHAnsi" w:hAnsiTheme="minorHAnsi" w:cstheme="minorHAnsi"/>
          <w:sz w:val="24"/>
          <w:szCs w:val="24"/>
        </w:rPr>
        <w:t>de la data constatarii uneia dintre aceste situatii de catre autoritatile competente conform legii</w:t>
      </w:r>
      <w:r w:rsidR="00706E20" w:rsidRPr="00B07CBA">
        <w:rPr>
          <w:rFonts w:asciiTheme="minorHAnsi" w:hAnsiTheme="minorHAnsi" w:cstheme="minorHAnsi"/>
          <w:sz w:val="24"/>
          <w:szCs w:val="24"/>
        </w:rPr>
        <w:t>.</w:t>
      </w:r>
    </w:p>
    <w:p w14:paraId="6400CBAE" w14:textId="77777777" w:rsidR="00B17883" w:rsidRPr="00B07CBA" w:rsidRDefault="00173F36">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se asigure că este respectat principiul "de a nu prejudicia în mod semnificativ" </w:t>
      </w:r>
      <w:r w:rsidRPr="00B07CBA">
        <w:rPr>
          <w:rFonts w:asciiTheme="minorHAnsi" w:hAnsiTheme="minorHAnsi" w:cstheme="minorHAnsi"/>
          <w:sz w:val="24"/>
          <w:szCs w:val="24"/>
          <w:lang w:eastAsia="en-US" w:bidi="en-US"/>
        </w:rPr>
        <w:t xml:space="preserve">("do not significantly harm") </w:t>
      </w:r>
      <w:r w:rsidRPr="00B07CBA">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42 din </w:t>
      </w:r>
      <w:r w:rsidR="00CD5E3B"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CD5E3B" w:rsidRPr="00B07CBA">
        <w:rPr>
          <w:rFonts w:asciiTheme="minorHAnsi" w:hAnsiTheme="minorHAnsi" w:cstheme="minorHAnsi"/>
          <w:sz w:val="24"/>
          <w:szCs w:val="24"/>
        </w:rPr>
        <w:t>/2021.</w:t>
      </w:r>
    </w:p>
    <w:p w14:paraId="084BDD2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17 din </w:t>
      </w:r>
      <w:r w:rsidRPr="00B07CBA">
        <w:rPr>
          <w:rStyle w:val="Bodytext21"/>
          <w:rFonts w:asciiTheme="minorHAnsi" w:hAnsiTheme="minorHAnsi" w:cstheme="minorHAnsi"/>
          <w:sz w:val="24"/>
          <w:szCs w:val="24"/>
        </w:rPr>
        <w:t>Legea nr. 10/1995</w:t>
      </w:r>
      <w:r w:rsidRPr="00B07CBA">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B07CBA">
        <w:rPr>
          <w:rFonts w:asciiTheme="minorHAnsi" w:hAnsiTheme="minorHAnsi" w:cstheme="minorHAnsi"/>
          <w:sz w:val="24"/>
          <w:szCs w:val="24"/>
        </w:rPr>
        <w:t xml:space="preserve"> </w:t>
      </w:r>
    </w:p>
    <w:p w14:paraId="7A150200"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Pr="00B07CBA" w:rsidRDefault="00173F36" w:rsidP="00C2677E">
      <w:pPr>
        <w:pStyle w:val="Bodytext20"/>
        <w:shd w:val="clear" w:color="auto" w:fill="auto"/>
        <w:ind w:firstLine="0"/>
        <w:jc w:val="both"/>
        <w:rPr>
          <w:rFonts w:asciiTheme="minorHAnsi" w:hAnsiTheme="minorHAnsi" w:cstheme="minorHAnsi"/>
          <w:sz w:val="24"/>
          <w:szCs w:val="24"/>
        </w:rPr>
      </w:pPr>
      <w:r w:rsidRPr="00B07CBA">
        <w:rPr>
          <w:rFonts w:asciiTheme="minorHAnsi" w:hAnsiTheme="minorHAnsi" w:cstheme="minorHAnsi"/>
          <w:sz w:val="24"/>
          <w:szCs w:val="24"/>
        </w:rPr>
        <w:t>(43) şi (44).</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efectua rambursarea sau plata cheltuielilor în condiţiile prevăzute de legislaţia </w:t>
      </w:r>
      <w:r w:rsidR="00173F36" w:rsidRPr="00B07CBA">
        <w:rPr>
          <w:rFonts w:asciiTheme="minorHAnsi" w:hAnsiTheme="minorHAnsi" w:cstheme="minorHAnsi"/>
          <w:sz w:val="24"/>
          <w:szCs w:val="24"/>
        </w:rPr>
        <w:lastRenderedPageBreak/>
        <w:t>aplicabilă şi cu respectarea prevederilor prezentului contract de finanţare.</w:t>
      </w:r>
    </w:p>
    <w:p w14:paraId="6BEE0CD8" w14:textId="0A3D67F8"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sidRPr="00B07CBA">
        <w:rPr>
          <w:rFonts w:asciiTheme="minorHAnsi" w:hAnsiTheme="minorHAnsi" w:cstheme="minorHAnsi"/>
          <w:sz w:val="24"/>
          <w:szCs w:val="24"/>
        </w:rPr>
        <w:t>lui şi prevenirii neregulilor. Î</w:t>
      </w:r>
      <w:r w:rsidR="00173F36" w:rsidRPr="00B07CBA">
        <w:rPr>
          <w:rFonts w:asciiTheme="minorHAnsi" w:hAnsiTheme="minorHAnsi" w:cstheme="minorHAnsi"/>
          <w:sz w:val="24"/>
          <w:szCs w:val="24"/>
        </w:rPr>
        <w:t xml:space="preserve">n acest sens, </w:t>
      </w: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B07CBA" w:rsidRDefault="00173F36">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situaţia în care, în urma verificărilor pe care le realizează,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9B3B26"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lastRenderedPageBreak/>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15EDBEDB" w14:textId="77777777" w:rsidR="00B17883" w:rsidRPr="00B07CBA" w:rsidRDefault="00173F3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va transmite, de asemenea, odată cu solicitarea de modificare, toate documentele justificative necesare.</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sidRPr="00B07CBA">
        <w:rPr>
          <w:rFonts w:asciiTheme="minorHAnsi" w:hAnsiTheme="minorHAnsi" w:cstheme="minorHAnsi"/>
          <w:sz w:val="24"/>
          <w:szCs w:val="24"/>
        </w:rPr>
        <w:t>n vigoare a actului adiţional. Î</w:t>
      </w:r>
      <w:r w:rsidRPr="00B07CBA">
        <w:rPr>
          <w:rFonts w:asciiTheme="minorHAnsi" w:hAnsiTheme="minorHAnsi" w:cstheme="minorHAnsi"/>
          <w:sz w:val="24"/>
          <w:szCs w:val="24"/>
        </w:rPr>
        <w:t xml:space="preserve">n cazul în care propunerea de modificare trimisă de Beneficiar nu este aprobată de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xml:space="preserve">, respectivele cheltuieli efectuate de Beneficiar nu vor fi considerate eligibile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136072C3" w14:textId="1118A122" w:rsidR="00B17883" w:rsidRPr="00B07CBA" w:rsidRDefault="00173F36">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Actul adiţional intră în vigoare la data semnării de către ultima parte, respectiv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 de dezangajare a fondurilor rămase neutilizate ca urmare a finalizării </w:t>
      </w:r>
      <w:r w:rsidRPr="00B07CBA">
        <w:rPr>
          <w:rFonts w:asciiTheme="minorHAnsi" w:hAnsiTheme="minorHAnsi" w:cstheme="minorHAnsi"/>
          <w:sz w:val="24"/>
          <w:szCs w:val="24"/>
        </w:rPr>
        <w:lastRenderedPageBreak/>
        <w:t>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B07CBA" w:rsidRDefault="00173F36">
      <w:pPr>
        <w:pStyle w:val="Bodytext20"/>
        <w:numPr>
          <w:ilvl w:val="0"/>
          <w:numId w:val="13"/>
        </w:numPr>
        <w:shd w:val="clear" w:color="auto" w:fill="auto"/>
        <w:tabs>
          <w:tab w:val="left" w:pos="51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B07CBA" w:rsidRDefault="00173F36">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Modificările prevăzute la alin. (11) se aduc la cunoştinţa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6E1C884B" w14:textId="7536DA22" w:rsidR="00B17883" w:rsidRPr="00B07CBA" w:rsidRDefault="00173F36">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următoarele situaţii:</w:t>
      </w:r>
    </w:p>
    <w:p w14:paraId="57A58F0B" w14:textId="77777777" w:rsidR="00B17883" w:rsidRPr="00B07CBA" w:rsidRDefault="00173F36">
      <w:pPr>
        <w:pStyle w:val="Bodytext20"/>
        <w:numPr>
          <w:ilvl w:val="0"/>
          <w:numId w:val="16"/>
        </w:numPr>
        <w:shd w:val="clear" w:color="auto" w:fill="auto"/>
        <w:tabs>
          <w:tab w:val="left" w:pos="882"/>
        </w:tabs>
        <w:ind w:left="560" w:right="-2"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managerului de proiect;</w:t>
      </w:r>
    </w:p>
    <w:p w14:paraId="46261B41"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îndreptarea unor erori materiale identificate în cererea de finanţare;</w:t>
      </w:r>
    </w:p>
    <w:p w14:paraId="28F0324C"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corelarea de informaţii din cadrul secţiunilor cererii de finanţare;</w:t>
      </w:r>
    </w:p>
    <w:p w14:paraId="21C644D5"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B07CBA" w:rsidRDefault="00173F36">
      <w:pPr>
        <w:pStyle w:val="Bodytext20"/>
        <w:numPr>
          <w:ilvl w:val="0"/>
          <w:numId w:val="16"/>
        </w:numPr>
        <w:shd w:val="clear" w:color="auto" w:fill="auto"/>
        <w:tabs>
          <w:tab w:val="left" w:pos="911"/>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w:t>
      </w:r>
      <w:r w:rsidRPr="00B07CBA">
        <w:rPr>
          <w:rFonts w:asciiTheme="minorHAnsi" w:hAnsiTheme="minorHAnsi" w:cstheme="minorHAnsi"/>
          <w:sz w:val="24"/>
          <w:szCs w:val="24"/>
        </w:rPr>
        <w:lastRenderedPageBreak/>
        <w:t>bugetul proiectului, indicatorii, valoarea achiziţiei, perioada de implementare şi să respecte prevederile legale în vigoare;</w:t>
      </w:r>
    </w:p>
    <w:p w14:paraId="3FB593AE"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B07CBA" w:rsidRDefault="00173F36">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Aprobarea sau respingerea notificării prevăzute la alin. (14) se realizează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termen de 10 zile lucrătoare de la înregistrarea acesteia, prin informare privind aprobarea/respingerea notifică</w:t>
      </w:r>
      <w:r w:rsidR="004E1B1E" w:rsidRPr="00B07CBA">
        <w:rPr>
          <w:rFonts w:asciiTheme="minorHAnsi" w:hAnsiTheme="minorHAnsi" w:cstheme="minorHAnsi"/>
          <w:sz w:val="24"/>
          <w:szCs w:val="24"/>
        </w:rPr>
        <w:t>rii, prin sistemul MySMIS2021. Î</w:t>
      </w:r>
      <w:r w:rsidRPr="00B07CBA">
        <w:rPr>
          <w:rFonts w:asciiTheme="minorHAnsi" w:hAnsiTheme="minorHAnsi" w:cstheme="minorHAnsi"/>
          <w:sz w:val="24"/>
          <w:szCs w:val="24"/>
        </w:rPr>
        <w:t xml:space="preserve">n interiorul acestui termen pot fi solicitate clarificări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(14) intră în vigoare şi produce efecte de la data transmiterii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respectarea regulilor pentru evitarea conflictului de interese,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61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1.046</w:t>
      </w:r>
      <w:r w:rsidR="004E1B1E" w:rsidRPr="00B07CBA">
        <w:rPr>
          <w:rStyle w:val="Bodytext21"/>
          <w:rFonts w:asciiTheme="minorHAnsi" w:hAnsiTheme="minorHAnsi" w:cstheme="minorHAnsi"/>
          <w:sz w:val="24"/>
          <w:szCs w:val="24"/>
        </w:rPr>
        <w:t>/2018</w:t>
      </w:r>
      <w:r w:rsidRPr="00B07CBA">
        <w:rPr>
          <w:rFonts w:asciiTheme="minorHAnsi" w:hAnsiTheme="minorHAnsi" w:cstheme="minorHAnsi"/>
          <w:sz w:val="24"/>
          <w:szCs w:val="24"/>
        </w:rPr>
        <w:t xml:space="preserve"> şi capitolului 2 secţiunea 2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din categoria subiecţilor de drept public au obligaţia de a urmări respectarea prevederilor </w:t>
      </w:r>
      <w:r w:rsidRPr="00B07CBA">
        <w:rPr>
          <w:rStyle w:val="Bodytext21"/>
          <w:rFonts w:asciiTheme="minorHAnsi" w:hAnsiTheme="minorHAnsi" w:cstheme="minorHAnsi"/>
          <w:sz w:val="24"/>
          <w:szCs w:val="24"/>
        </w:rPr>
        <w:t>Legii nr. 161/2003</w:t>
      </w:r>
      <w:r w:rsidRPr="00B07CBA">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şi 15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îşi rezervă dreptul de a verifica orice situaţii care dau naştere sau este posibil să dea naştere unei </w:t>
      </w:r>
      <w:r w:rsidR="00173F36" w:rsidRPr="00B07CBA">
        <w:rPr>
          <w:rFonts w:asciiTheme="minorHAnsi" w:hAnsiTheme="minorHAnsi" w:cstheme="minorHAnsi"/>
          <w:sz w:val="24"/>
          <w:szCs w:val="24"/>
        </w:rPr>
        <w:lastRenderedPageBreak/>
        <w:t>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prevenirea, constatarea şi sancţionarea neregulilor în conformitate cu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13A63E" w14:textId="052BC4B0" w:rsidR="00B17883" w:rsidRPr="00B07CBA" w:rsidRDefault="00173F36">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procesul de verificare a cererilor de rambursare/plată,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aplică măsurile prevăzute de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B07CBA" w:rsidRDefault="00173F36">
      <w:pPr>
        <w:pStyle w:val="Bodytext20"/>
        <w:numPr>
          <w:ilvl w:val="0"/>
          <w:numId w:val="18"/>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B07CBA">
        <w:rPr>
          <w:rStyle w:val="Bodytext21"/>
          <w:rFonts w:asciiTheme="minorHAnsi" w:hAnsiTheme="minorHAnsi" w:cstheme="minorHAnsi"/>
          <w:sz w:val="24"/>
          <w:szCs w:val="24"/>
        </w:rPr>
        <w:t xml:space="preserve">Ordonanţei de </w:t>
      </w:r>
      <w:r w:rsidR="004E1B1E" w:rsidRPr="00B07CBA">
        <w:rPr>
          <w:rStyle w:val="Bodytext21"/>
          <w:rFonts w:asciiTheme="minorHAnsi" w:hAnsiTheme="minorHAnsi" w:cstheme="minorHAnsi"/>
          <w:sz w:val="24"/>
          <w:szCs w:val="24"/>
        </w:rPr>
        <w:t>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AE76CB" w14:textId="5DC9AD64"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B07CBA" w:rsidRDefault="00173F36">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1.060/2021, </w:t>
      </w:r>
      <w:r w:rsidRPr="00B07CBA">
        <w:rPr>
          <w:rFonts w:asciiTheme="minorHAnsi" w:hAnsiTheme="minorHAnsi" w:cstheme="minorHAnsi"/>
          <w:sz w:val="24"/>
          <w:szCs w:val="24"/>
        </w:rPr>
        <w:t>după caz.</w:t>
      </w:r>
    </w:p>
    <w:p w14:paraId="53D735F6" w14:textId="07986770" w:rsidR="00B17883" w:rsidRPr="00B07CBA" w:rsidRDefault="00173F36">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a furniza informaţiile necesare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pentru monitorizarea proiectului, Beneficiarul elaborează</w:t>
      </w:r>
      <w:r w:rsidR="00C973BE" w:rsidRPr="00B07CBA">
        <w:rPr>
          <w:rFonts w:asciiTheme="minorHAnsi" w:hAnsiTheme="minorHAnsi" w:cstheme="minorHAnsi"/>
          <w:sz w:val="24"/>
          <w:szCs w:val="24"/>
        </w:rPr>
        <w:t xml:space="preserve"> </w:t>
      </w:r>
      <w:r w:rsidRPr="00B07CBA">
        <w:rPr>
          <w:rStyle w:val="Bodytext5NotItalic"/>
          <w:rFonts w:asciiTheme="minorHAnsi" w:hAnsiTheme="minorHAnsi" w:cstheme="minorHAnsi"/>
          <w:i w:val="0"/>
          <w:iCs w:val="0"/>
          <w:sz w:val="24"/>
          <w:szCs w:val="24"/>
        </w:rPr>
        <w:t>rapoart</w:t>
      </w:r>
      <w:r w:rsidR="006061A1" w:rsidRPr="00B07CBA">
        <w:rPr>
          <w:rStyle w:val="Bodytext5NotItalic"/>
          <w:rFonts w:asciiTheme="minorHAnsi" w:hAnsiTheme="minorHAnsi" w:cstheme="minorHAnsi"/>
          <w:i w:val="0"/>
          <w:iCs w:val="0"/>
          <w:sz w:val="24"/>
          <w:szCs w:val="24"/>
        </w:rPr>
        <w:t>e de progres</w:t>
      </w:r>
      <w:r w:rsidR="007A7799" w:rsidRPr="00B07CBA">
        <w:rPr>
          <w:rStyle w:val="Bodytext5NotItalic"/>
          <w:rFonts w:asciiTheme="minorHAnsi" w:hAnsiTheme="minorHAnsi" w:cstheme="minorHAnsi"/>
          <w:i w:val="0"/>
          <w:iCs w:val="0"/>
          <w:sz w:val="24"/>
          <w:szCs w:val="24"/>
        </w:rPr>
        <w:t xml:space="preserve"> cu o</w:t>
      </w:r>
      <w:r w:rsidRPr="00B07CBA">
        <w:rPr>
          <w:rFonts w:asciiTheme="minorHAnsi" w:hAnsiTheme="minorHAnsi" w:cstheme="minorHAnsi"/>
          <w:i/>
          <w:iCs/>
          <w:sz w:val="24"/>
          <w:szCs w:val="24"/>
        </w:rPr>
        <w:t xml:space="preserve"> </w:t>
      </w:r>
      <w:r w:rsidR="007A7799" w:rsidRPr="00B07CBA">
        <w:rPr>
          <w:rStyle w:val="Bodytext5NotItalic"/>
          <w:rFonts w:asciiTheme="minorHAnsi" w:hAnsiTheme="minorHAnsi" w:cstheme="minorHAnsi"/>
          <w:i w:val="0"/>
          <w:iCs w:val="0"/>
          <w:sz w:val="24"/>
          <w:szCs w:val="24"/>
        </w:rPr>
        <w:t xml:space="preserve">frecvenţă de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Pr="00B07CBA">
        <w:rPr>
          <w:rFonts w:asciiTheme="minorHAnsi" w:hAnsiTheme="minorHAnsi" w:cstheme="minorHAnsi"/>
          <w:sz w:val="24"/>
          <w:szCs w:val="24"/>
        </w:rPr>
        <w:t xml:space="preserve">în conformitate cu </w:t>
      </w:r>
      <w:r w:rsidRPr="00B07CBA">
        <w:rPr>
          <w:rFonts w:asciiTheme="minorHAnsi" w:hAnsiTheme="minorHAnsi" w:cstheme="minorHAnsi"/>
          <w:sz w:val="24"/>
          <w:szCs w:val="24"/>
        </w:rPr>
        <w:lastRenderedPageBreak/>
        <w:t>prevederile prezentului contract de finanţare.</w:t>
      </w:r>
    </w:p>
    <w:p w14:paraId="023E0865" w14:textId="702F8265" w:rsidR="00B17883" w:rsidRPr="00B07CBA" w:rsidRDefault="00173F36">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Raportul de progres se generează prin sistemul informatic MySMIS2021/SMIS2021+ de către Beneficiar</w:t>
      </w:r>
      <w:r w:rsidR="00C973BE"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şi se transmite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30 de zile de la finalizarea perioadei de raportare.</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proiectelor de infrastructură şi al proiectelor care presupun execuţie de lucrări,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B07CBA" w:rsidRDefault="00185F47">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B07CBA" w:rsidRDefault="00185F47">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situaţia nerealizării, la termen, a indicatorilor de etapă,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completarea măsurilor consolidate de monitorizare,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poate să aplice una </w:t>
      </w:r>
      <w:r w:rsidR="00EA27F2" w:rsidRPr="00B07CBA">
        <w:rPr>
          <w:rFonts w:asciiTheme="minorHAnsi" w:hAnsiTheme="minorHAnsi" w:cstheme="minorHAnsi"/>
          <w:sz w:val="24"/>
          <w:szCs w:val="24"/>
        </w:rPr>
        <w:t xml:space="preserve">sau mai multe dintre </w:t>
      </w:r>
      <w:r w:rsidR="00173F36" w:rsidRPr="00B07CBA">
        <w:rPr>
          <w:rFonts w:asciiTheme="minorHAnsi" w:hAnsiTheme="minorHAnsi" w:cstheme="minorHAnsi"/>
          <w:sz w:val="24"/>
          <w:szCs w:val="24"/>
        </w:rPr>
        <w:t xml:space="preserve"> măsuri</w:t>
      </w:r>
      <w:r w:rsidR="00EA27F2" w:rsidRPr="00B07CBA">
        <w:rPr>
          <w:rFonts w:asciiTheme="minorHAnsi" w:hAnsiTheme="minorHAnsi" w:cstheme="minorHAnsi"/>
          <w:sz w:val="24"/>
          <w:szCs w:val="24"/>
        </w:rPr>
        <w:t>le</w:t>
      </w:r>
      <w:r w:rsidR="00173F36" w:rsidRPr="00B07CBA">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progresul fizic la nivelul ţintelor asumate şi stadiul din rapoartele de progres</w:t>
      </w:r>
      <w:r w:rsidR="00EA27F2" w:rsidRPr="00B07CBA">
        <w:rPr>
          <w:rFonts w:asciiTheme="minorHAnsi" w:hAnsiTheme="minorHAnsi" w:cstheme="minorHAnsi"/>
          <w:sz w:val="24"/>
          <w:szCs w:val="24"/>
        </w:rPr>
        <w:t>.</w:t>
      </w:r>
      <w:r w:rsidR="00173F36" w:rsidRPr="00B07CBA">
        <w:rPr>
          <w:rFonts w:asciiTheme="minorHAnsi" w:hAnsiTheme="minorHAnsi" w:cstheme="minorHAnsi"/>
          <w:sz w:val="24"/>
          <w:szCs w:val="24"/>
        </w:rPr>
        <w:tab/>
      </w:r>
    </w:p>
    <w:p w14:paraId="083A126E" w14:textId="22E4FFAD" w:rsidR="00B17883" w:rsidRPr="00B07CBA" w:rsidRDefault="00E45006">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B07CBA" w:rsidRDefault="00185F47">
      <w:pPr>
        <w:pStyle w:val="Bodytext20"/>
        <w:numPr>
          <w:ilvl w:val="0"/>
          <w:numId w:val="19"/>
        </w:numPr>
        <w:shd w:val="clear" w:color="auto" w:fill="auto"/>
        <w:tabs>
          <w:tab w:val="left" w:pos="514"/>
        </w:tabs>
        <w:spacing w:line="298"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B07CBA" w:rsidRDefault="00173F36">
      <w:pPr>
        <w:pStyle w:val="Bodytext20"/>
        <w:numPr>
          <w:ilvl w:val="0"/>
          <w:numId w:val="19"/>
        </w:numPr>
        <w:shd w:val="clear" w:color="auto" w:fill="auto"/>
        <w:tabs>
          <w:tab w:val="left" w:pos="52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B07CBA" w:rsidRDefault="00173F36">
      <w:pPr>
        <w:pStyle w:val="Bodytext20"/>
        <w:numPr>
          <w:ilvl w:val="0"/>
          <w:numId w:val="21"/>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74 alin. (1)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b din </w:t>
      </w:r>
      <w:r w:rsidR="004E1B1E" w:rsidRPr="00B07CBA">
        <w:rPr>
          <w:rStyle w:val="Bodytext21"/>
          <w:rFonts w:asciiTheme="minorHAnsi" w:hAnsiTheme="minorHAnsi" w:cstheme="minorHAnsi"/>
          <w:sz w:val="24"/>
          <w:szCs w:val="24"/>
        </w:rPr>
        <w:t>Regulamentul (UE)</w:t>
      </w:r>
      <w:r w:rsidRPr="00B07CBA">
        <w:rPr>
          <w:rStyle w:val="Bodytext21"/>
          <w:rFonts w:asciiTheme="minorHAnsi" w:hAnsiTheme="minorHAnsi" w:cstheme="minorHAnsi"/>
          <w:sz w:val="24"/>
          <w:szCs w:val="24"/>
        </w:rPr>
        <w:t>1.060</w:t>
      </w:r>
      <w:r w:rsidR="004E1B1E"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cu modificările şi completările ulterioare;</w:t>
      </w:r>
    </w:p>
    <w:p w14:paraId="799AB607" w14:textId="77777777" w:rsidR="001F4090"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respingerea, în tot sau în parte, a cererii de plată/cererii de prefinanţare/cererii de rambursare, în condiţiile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25 alin. (5)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dacă nu au fost </w:t>
      </w:r>
    </w:p>
    <w:p w14:paraId="006B4925" w14:textId="0F4D132A" w:rsidR="001F4090" w:rsidRPr="00B07CBA"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sidRPr="00B07CBA">
        <w:rPr>
          <w:rFonts w:asciiTheme="minorHAnsi" w:hAnsiTheme="minorHAnsi" w:cstheme="minorHAnsi"/>
          <w:sz w:val="18"/>
          <w:szCs w:val="18"/>
        </w:rPr>
        <w:t>² Aceste prevederi sunt detaliate în clauzele specifice.</w:t>
      </w:r>
    </w:p>
    <w:p w14:paraId="518C8279" w14:textId="4663DEE8" w:rsidR="00B17883" w:rsidRPr="00B07CBA"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transmise dovezile privind îndeplinirea indicatorului de etapă în termenul specificat la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a);</w:t>
      </w:r>
    </w:p>
    <w:p w14:paraId="16764516" w14:textId="77777777" w:rsidR="00B17883"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w:t>
      </w:r>
      <w:r w:rsidRPr="00B07CBA">
        <w:rPr>
          <w:rFonts w:asciiTheme="minorHAnsi" w:hAnsiTheme="minorHAnsi" w:cstheme="minorHAnsi"/>
          <w:sz w:val="24"/>
          <w:szCs w:val="24"/>
        </w:rPr>
        <w:lastRenderedPageBreak/>
        <w:t>din valoarea eligibilă a contractului de finanţare, în situaţia neîndeplinirii a 3 indicatori de etapă consecutivi din motive imputabile Beneficiarului/Liderului de parteneriat şi/sau partenerilor;</w:t>
      </w:r>
    </w:p>
    <w:p w14:paraId="52450A66" w14:textId="77777777" w:rsidR="00B17883" w:rsidRPr="00B07CBA" w:rsidRDefault="00173F36">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B07CBA" w:rsidRDefault="00173F36">
      <w:pPr>
        <w:pStyle w:val="Bodytext20"/>
        <w:numPr>
          <w:ilvl w:val="0"/>
          <w:numId w:val="21"/>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rezilierea contractului de finanţare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287791F3" w14:textId="77777777" w:rsidR="00B17883" w:rsidRPr="00B07CBA"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77777777" w:rsidR="00B17883" w:rsidRPr="00B07CBA" w:rsidRDefault="00173F36">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B07CBA" w:rsidRDefault="00173F36">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poate proceda la rezilierea contractului de finanţare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recuperarea sumelor deja plătite Beneficiarului.</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w:t>
      </w:r>
      <w:r w:rsidRPr="00B07CBA">
        <w:rPr>
          <w:rFonts w:asciiTheme="minorHAnsi" w:hAnsiTheme="minorHAnsi" w:cstheme="minorHAnsi"/>
          <w:sz w:val="24"/>
          <w:szCs w:val="24"/>
        </w:rPr>
        <w:lastRenderedPageBreak/>
        <w:t>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F4908D7"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neîndeplinirii indicatorilor de etapă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13 alin. (13)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e) şi alin. (15) din prezentul contract de finanţare;</w:t>
      </w:r>
    </w:p>
    <w:p w14:paraId="4F977C1A"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alin. (23) din </w:t>
      </w:r>
      <w:r w:rsidRPr="00B07CBA">
        <w:rPr>
          <w:rStyle w:val="Bodytext21"/>
          <w:rFonts w:asciiTheme="minorHAnsi" w:hAnsiTheme="minorHAnsi" w:cstheme="minorHAnsi"/>
          <w:sz w:val="24"/>
          <w:szCs w:val="24"/>
        </w:rPr>
        <w:t xml:space="preserve">Ordonanţa de urgentă a Guvernului nr. 23/2023 </w:t>
      </w:r>
      <w:r w:rsidRPr="00B07CBA">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clauzei rezolutorii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 xml:space="preserve"> dacă este cazul </w:t>
      </w:r>
      <w:r w:rsidRPr="00B07CBA">
        <w:rPr>
          <w:rStyle w:val="Bodytext2Italic"/>
          <w:rFonts w:asciiTheme="minorHAnsi" w:hAnsiTheme="minorHAnsi" w:cstheme="minorHAnsi"/>
          <w:sz w:val="24"/>
          <w:szCs w:val="24"/>
        </w:rPr>
        <w:t xml:space="preserve">(Se va introduce de către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 xml:space="preserve">doar dacă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a prevăzut în Ghid clauza rezolutorie</w:t>
      </w:r>
      <w:r w:rsidRPr="00B07CBA">
        <w:rPr>
          <w:rFonts w:asciiTheme="minorHAnsi" w:hAnsiTheme="minorHAnsi" w:cstheme="minorHAnsi"/>
          <w:sz w:val="24"/>
          <w:szCs w:val="24"/>
        </w:rPr>
        <w:t>.]</w:t>
      </w:r>
    </w:p>
    <w:p w14:paraId="2D1E6308" w14:textId="77777777" w:rsidR="00B17883" w:rsidRPr="00B07CBA" w:rsidRDefault="00173F36">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furnizează corect şi complet informaţiile solicitate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 de infrastructură, după caz</w:t>
      </w:r>
    </w:p>
    <w:p w14:paraId="3ACB4CEB" w14:textId="77777777" w:rsidR="00B17883" w:rsidRPr="00B07CBA" w:rsidRDefault="00173F36">
      <w:pPr>
        <w:pStyle w:val="Bodytext20"/>
        <w:numPr>
          <w:ilvl w:val="0"/>
          <w:numId w:val="24"/>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B07CBA" w:rsidRDefault="00173F36">
      <w:pPr>
        <w:pStyle w:val="Bodytext20"/>
        <w:numPr>
          <w:ilvl w:val="0"/>
          <w:numId w:val="23"/>
        </w:numPr>
        <w:shd w:val="clear" w:color="auto" w:fill="auto"/>
        <w:tabs>
          <w:tab w:val="left" w:pos="407"/>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Decizia de reziliere a contractului de finanţare emisă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Contractul de finanţare poate înceta prin acordul părţilor, cu condiţia restituirii finanţării acordate.</w:t>
      </w:r>
    </w:p>
    <w:p w14:paraId="3F85EAC4"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6FA6E5C7" w14:textId="77777777" w:rsidR="00314ADA" w:rsidRPr="00B07CBA" w:rsidRDefault="00314ADA"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B07CBA" w:rsidRDefault="00173F36">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B07CBA">
        <w:rPr>
          <w:rStyle w:val="Bodytext21"/>
          <w:rFonts w:asciiTheme="minorHAnsi" w:hAnsiTheme="minorHAnsi" w:cstheme="minorHAnsi"/>
          <w:sz w:val="24"/>
          <w:szCs w:val="24"/>
        </w:rPr>
        <w:t>Legea contenciosului administrativ nr. 554/2004.</w:t>
      </w:r>
      <w:r w:rsidRPr="00B07CBA">
        <w:rPr>
          <w:rFonts w:asciiTheme="minorHAnsi" w:hAnsiTheme="minorHAnsi" w:cstheme="minorHAnsi"/>
          <w:sz w:val="24"/>
          <w:szCs w:val="24"/>
        </w:rPr>
        <w:t xml:space="preserve"> cu modificările şi completările ulterioare.</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7C1769D1" w14:textId="77777777" w:rsidR="00B17883" w:rsidRPr="00B07CBA" w:rsidRDefault="00173F36">
      <w:pPr>
        <w:pStyle w:val="Bodytext20"/>
        <w:numPr>
          <w:ilvl w:val="0"/>
          <w:numId w:val="26"/>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inclusiv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B07CBA">
        <w:rPr>
          <w:rStyle w:val="Bodytext21"/>
          <w:rFonts w:asciiTheme="minorHAnsi" w:hAnsiTheme="minorHAnsi" w:cstheme="minorHAnsi"/>
          <w:sz w:val="24"/>
          <w:szCs w:val="24"/>
        </w:rPr>
        <w:t>Legii nr. 544/2001</w:t>
      </w:r>
      <w:r w:rsidRPr="00B07CBA">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lastRenderedPageBreak/>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B07CBA" w:rsidRDefault="00173F3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B07CBA" w:rsidRDefault="00852FB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B07CBA" w:rsidRDefault="00173F36">
      <w:pPr>
        <w:pStyle w:val="Bodytext20"/>
        <w:numPr>
          <w:ilvl w:val="0"/>
          <w:numId w:val="30"/>
        </w:numPr>
        <w:shd w:val="clear" w:color="auto" w:fill="auto"/>
        <w:tabs>
          <w:tab w:val="left" w:pos="90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B07CBA"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 xml:space="preserve"> şi în conformitate cu </w:t>
      </w:r>
      <w:r w:rsidRPr="00B07CBA">
        <w:rPr>
          <w:rStyle w:val="Bodytext21"/>
          <w:rFonts w:asciiTheme="minorHAnsi" w:hAnsiTheme="minorHAnsi" w:cstheme="minorHAnsi"/>
          <w:sz w:val="24"/>
          <w:szCs w:val="24"/>
        </w:rPr>
        <w:t xml:space="preserve">Regulamentul </w:t>
      </w:r>
      <w:r w:rsidR="0015187A" w:rsidRPr="00B07CBA">
        <w:rPr>
          <w:rStyle w:val="Bodytext21"/>
          <w:rFonts w:asciiTheme="minorHAnsi" w:hAnsiTheme="minorHAnsi" w:cstheme="minorHAnsi"/>
          <w:sz w:val="24"/>
          <w:szCs w:val="24"/>
          <w:lang w:eastAsia="en-US" w:bidi="en-US"/>
        </w:rPr>
        <w:t>(</w:t>
      </w:r>
      <w:r w:rsidRPr="00B07CBA">
        <w:rPr>
          <w:rStyle w:val="Bodytext21"/>
          <w:rFonts w:asciiTheme="minorHAnsi" w:hAnsiTheme="minorHAnsi" w:cstheme="minorHAnsi"/>
          <w:sz w:val="24"/>
          <w:szCs w:val="24"/>
          <w:lang w:eastAsia="en-US" w:bidi="en-US"/>
        </w:rPr>
        <w:t xml:space="preserve">UE) </w:t>
      </w:r>
      <w:r w:rsidRPr="00B07CBA">
        <w:rPr>
          <w:rStyle w:val="Bodytext21"/>
          <w:rFonts w:asciiTheme="minorHAnsi" w:hAnsiTheme="minorHAnsi" w:cstheme="minorHAnsi"/>
          <w:sz w:val="24"/>
          <w:szCs w:val="24"/>
        </w:rPr>
        <w:t>679</w:t>
      </w:r>
      <w:r w:rsidR="0015187A" w:rsidRPr="00B07CBA">
        <w:rPr>
          <w:rStyle w:val="Bodytext21"/>
          <w:rFonts w:asciiTheme="minorHAnsi" w:hAnsiTheme="minorHAnsi" w:cstheme="minorHAnsi"/>
          <w:sz w:val="24"/>
          <w:szCs w:val="24"/>
        </w:rPr>
        <w:t>/2016</w:t>
      </w:r>
      <w:r w:rsidRPr="00B07CBA">
        <w:rPr>
          <w:rFonts w:asciiTheme="minorHAnsi" w:hAnsiTheme="minorHAnsi" w:cstheme="minorHAnsi"/>
          <w:sz w:val="24"/>
          <w:szCs w:val="24"/>
        </w:rPr>
        <w:t xml:space="preserve"> şi </w:t>
      </w:r>
      <w:r w:rsidRPr="00B07CBA">
        <w:rPr>
          <w:rStyle w:val="Bodytext21"/>
          <w:rFonts w:asciiTheme="minorHAnsi" w:hAnsiTheme="minorHAnsi" w:cstheme="minorHAnsi"/>
          <w:sz w:val="24"/>
          <w:szCs w:val="24"/>
        </w:rPr>
        <w:t>Legea nr. 190/2018,</w:t>
      </w:r>
      <w:r w:rsidRPr="00B07CBA">
        <w:rPr>
          <w:rFonts w:asciiTheme="minorHAnsi" w:hAnsiTheme="minorHAnsi" w:cstheme="minorHAnsi"/>
          <w:sz w:val="24"/>
          <w:szCs w:val="24"/>
        </w:rPr>
        <w:t xml:space="preserve"> cu modificările şi completările ulterioare.</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w:t>
      </w:r>
      <w:r w:rsidRPr="00B07CBA">
        <w:rPr>
          <w:rFonts w:asciiTheme="minorHAnsi" w:hAnsiTheme="minorHAnsi" w:cstheme="minorHAnsi"/>
          <w:sz w:val="24"/>
          <w:szCs w:val="24"/>
        </w:rPr>
        <w:lastRenderedPageBreak/>
        <w:t xml:space="preserve">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3CA9B7F5" w14:textId="77777777" w:rsidR="00B17883" w:rsidRPr="00B07CBA"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I</w:t>
      </w:r>
      <w:r w:rsidR="00173F36" w:rsidRPr="00B07CBA">
        <w:rPr>
          <w:rFonts w:asciiTheme="minorHAnsi" w:hAnsiTheme="minorHAnsi" w:cstheme="minorHAnsi"/>
          <w:sz w:val="24"/>
          <w:szCs w:val="24"/>
        </w:rPr>
        <w:t xml:space="preserve">n situaţia în care informaţiile de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19 alin. (2) şi (3) din prezentul contract de finanţare.</w:t>
      </w:r>
    </w:p>
    <w:p w14:paraId="50234D02" w14:textId="77777777" w:rsidR="00C70D63" w:rsidRPr="00B07CBA"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FD2D928" w14:textId="606E99A2" w:rsidR="00B17883" w:rsidRPr="00B07CBA" w:rsidRDefault="00173F36">
      <w:pPr>
        <w:pStyle w:val="Bodytext20"/>
        <w:numPr>
          <w:ilvl w:val="0"/>
          <w:numId w:val="32"/>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întreaga comunicare dintre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lastRenderedPageBreak/>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Pr="00B07CBA"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finanţare (dacă este cazul).</w:t>
      </w:r>
    </w:p>
    <w:p w14:paraId="62D8F3A7" w14:textId="0EB940BA"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 4. 5.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2129F7BE" w14:textId="137957B7" w:rsidR="00B17883" w:rsidRPr="00B07CBA" w:rsidRDefault="00173F36">
      <w:pPr>
        <w:pStyle w:val="Bodytext20"/>
        <w:numPr>
          <w:ilvl w:val="0"/>
          <w:numId w:val="37"/>
        </w:numPr>
        <w:shd w:val="clear" w:color="auto" w:fill="auto"/>
        <w:tabs>
          <w:tab w:val="left" w:pos="46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/conducătorul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care se constituie în </w:t>
      </w: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la prezentul contract de finanţare.</w:t>
      </w:r>
    </w:p>
    <w:p w14:paraId="6211EDF1" w14:textId="3126B81C"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2785B28A"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06F2CFBD" w14:textId="77777777" w:rsidR="00076990" w:rsidRDefault="00076990">
      <w:pPr>
        <w:pStyle w:val="Bodytext40"/>
        <w:shd w:val="clear" w:color="auto" w:fill="auto"/>
        <w:spacing w:before="0" w:after="0"/>
        <w:rPr>
          <w:rStyle w:val="Bodytext41"/>
          <w:rFonts w:asciiTheme="minorHAnsi" w:hAnsiTheme="minorHAnsi" w:cstheme="minorHAnsi"/>
          <w:b/>
          <w:bCs/>
          <w:i/>
          <w:iCs/>
          <w:sz w:val="24"/>
          <w:szCs w:val="24"/>
        </w:rPr>
      </w:pPr>
    </w:p>
    <w:p w14:paraId="3AA42150" w14:textId="03D113D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9331"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98"/>
        <w:gridCol w:w="970"/>
        <w:gridCol w:w="1739"/>
        <w:gridCol w:w="957"/>
        <w:gridCol w:w="957"/>
        <w:gridCol w:w="957"/>
        <w:gridCol w:w="1316"/>
        <w:gridCol w:w="957"/>
        <w:gridCol w:w="1080"/>
      </w:tblGrid>
      <w:tr w:rsidR="00B17883" w:rsidRPr="00B07CBA" w14:paraId="22E11CCE" w14:textId="77777777" w:rsidTr="00076990">
        <w:trPr>
          <w:trHeight w:hRule="exact" w:val="1659"/>
        </w:trPr>
        <w:tc>
          <w:tcPr>
            <w:tcW w:w="398"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970"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739"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957"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957"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957"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316"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957"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080"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076990">
        <w:trPr>
          <w:trHeight w:hRule="exact" w:val="399"/>
        </w:trPr>
        <w:tc>
          <w:tcPr>
            <w:tcW w:w="398"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70"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739"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316"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80"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076990">
        <w:trPr>
          <w:trHeight w:hRule="exact" w:val="399"/>
        </w:trPr>
        <w:tc>
          <w:tcPr>
            <w:tcW w:w="398"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70"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739"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316"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80"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076990">
        <w:trPr>
          <w:trHeight w:hRule="exact" w:val="435"/>
        </w:trPr>
        <w:tc>
          <w:tcPr>
            <w:tcW w:w="398"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970"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739"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316"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957"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80"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65D3BA17" w14:textId="77777777" w:rsidR="00076990" w:rsidRDefault="00076990" w:rsidP="00596F6D">
      <w:pPr>
        <w:pStyle w:val="Bodytext40"/>
        <w:shd w:val="clear" w:color="auto" w:fill="auto"/>
        <w:spacing w:before="0" w:after="0"/>
        <w:ind w:left="8496" w:firstLine="708"/>
        <w:jc w:val="left"/>
        <w:rPr>
          <w:rStyle w:val="Bodytext41"/>
          <w:rFonts w:asciiTheme="minorHAnsi" w:hAnsiTheme="minorHAnsi" w:cstheme="minorHAnsi"/>
          <w:b/>
          <w:bCs/>
          <w:i/>
          <w:iCs/>
          <w:sz w:val="24"/>
          <w:szCs w:val="24"/>
        </w:rPr>
      </w:pPr>
    </w:p>
    <w:p w14:paraId="67945647" w14:textId="77777777" w:rsidR="00076990" w:rsidRDefault="00076990" w:rsidP="00596F6D">
      <w:pPr>
        <w:pStyle w:val="Bodytext40"/>
        <w:shd w:val="clear" w:color="auto" w:fill="auto"/>
        <w:spacing w:before="0" w:after="0"/>
        <w:ind w:left="8496" w:firstLine="708"/>
        <w:jc w:val="left"/>
        <w:rPr>
          <w:rStyle w:val="Bodytext41"/>
          <w:rFonts w:asciiTheme="minorHAnsi" w:hAnsiTheme="minorHAnsi" w:cstheme="minorHAnsi"/>
          <w:b/>
          <w:bCs/>
          <w:i/>
          <w:iCs/>
          <w:sz w:val="24"/>
          <w:szCs w:val="24"/>
        </w:rPr>
      </w:pPr>
    </w:p>
    <w:p w14:paraId="37AB2D05" w14:textId="77777777" w:rsidR="00076990" w:rsidRDefault="00076990" w:rsidP="00596F6D">
      <w:pPr>
        <w:pStyle w:val="Bodytext40"/>
        <w:shd w:val="clear" w:color="auto" w:fill="auto"/>
        <w:spacing w:before="0" w:after="0"/>
        <w:ind w:left="8496" w:firstLine="708"/>
        <w:jc w:val="left"/>
        <w:rPr>
          <w:rStyle w:val="Bodytext41"/>
          <w:rFonts w:asciiTheme="minorHAnsi" w:hAnsiTheme="minorHAnsi" w:cstheme="minorHAnsi"/>
          <w:b/>
          <w:bCs/>
          <w:i/>
          <w:iCs/>
          <w:sz w:val="24"/>
          <w:szCs w:val="24"/>
        </w:rPr>
      </w:pPr>
    </w:p>
    <w:p w14:paraId="5BDE2B52" w14:textId="77777777" w:rsidR="00076990" w:rsidRDefault="00076990" w:rsidP="00596F6D">
      <w:pPr>
        <w:pStyle w:val="Bodytext40"/>
        <w:shd w:val="clear" w:color="auto" w:fill="auto"/>
        <w:spacing w:before="0" w:after="0"/>
        <w:ind w:left="8496" w:firstLine="708"/>
        <w:jc w:val="left"/>
        <w:rPr>
          <w:rStyle w:val="Bodytext41"/>
          <w:rFonts w:asciiTheme="minorHAnsi" w:hAnsiTheme="minorHAnsi" w:cstheme="minorHAnsi"/>
          <w:b/>
          <w:bCs/>
          <w:i/>
          <w:iCs/>
          <w:sz w:val="24"/>
          <w:szCs w:val="24"/>
        </w:rPr>
      </w:pPr>
    </w:p>
    <w:p w14:paraId="02C2EDF9" w14:textId="76274710"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188C3553" w14:textId="77777777" w:rsidR="00076990" w:rsidRDefault="00076990" w:rsidP="00596F6D">
      <w:pPr>
        <w:pStyle w:val="Bodytext40"/>
        <w:shd w:val="clear" w:color="auto" w:fill="auto"/>
        <w:spacing w:before="0" w:after="0"/>
        <w:rPr>
          <w:rStyle w:val="Bodytext41"/>
          <w:rFonts w:asciiTheme="minorHAnsi" w:hAnsiTheme="minorHAnsi" w:cstheme="minorHAnsi"/>
          <w:b/>
          <w:bCs/>
          <w:i/>
          <w:iCs/>
          <w:sz w:val="24"/>
          <w:szCs w:val="24"/>
        </w:rPr>
      </w:pPr>
    </w:p>
    <w:p w14:paraId="56F7A950" w14:textId="77777777" w:rsidR="00076990" w:rsidRDefault="00076990" w:rsidP="00596F6D">
      <w:pPr>
        <w:pStyle w:val="Bodytext40"/>
        <w:shd w:val="clear" w:color="auto" w:fill="auto"/>
        <w:spacing w:before="0" w:after="0"/>
        <w:rPr>
          <w:rStyle w:val="Bodytext41"/>
          <w:rFonts w:asciiTheme="minorHAnsi" w:hAnsiTheme="minorHAnsi" w:cstheme="minorHAnsi"/>
          <w:b/>
          <w:bCs/>
          <w:i/>
          <w:iCs/>
          <w:sz w:val="24"/>
          <w:szCs w:val="24"/>
        </w:rPr>
      </w:pPr>
    </w:p>
    <w:p w14:paraId="29620839" w14:textId="1171D4A6"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02F722EE" w14:textId="77777777" w:rsidR="00076990" w:rsidRDefault="00076990" w:rsidP="00596F6D">
      <w:pPr>
        <w:pStyle w:val="Bodytext40"/>
        <w:shd w:val="clear" w:color="auto" w:fill="auto"/>
        <w:spacing w:before="0" w:after="0"/>
        <w:rPr>
          <w:rStyle w:val="Bodytext41"/>
          <w:rFonts w:asciiTheme="minorHAnsi" w:hAnsiTheme="minorHAnsi" w:cstheme="minorHAnsi"/>
          <w:b/>
          <w:bCs/>
          <w:i/>
          <w:iCs/>
          <w:color w:val="auto"/>
          <w:sz w:val="24"/>
          <w:szCs w:val="24"/>
        </w:rPr>
      </w:pPr>
    </w:p>
    <w:p w14:paraId="5171CFD1" w14:textId="77777777" w:rsidR="00076990" w:rsidRDefault="00076990" w:rsidP="00596F6D">
      <w:pPr>
        <w:pStyle w:val="Bodytext40"/>
        <w:shd w:val="clear" w:color="auto" w:fill="auto"/>
        <w:spacing w:before="0" w:after="0"/>
        <w:rPr>
          <w:rStyle w:val="Bodytext41"/>
          <w:rFonts w:asciiTheme="minorHAnsi" w:hAnsiTheme="minorHAnsi" w:cstheme="minorHAnsi"/>
          <w:b/>
          <w:bCs/>
          <w:i/>
          <w:iCs/>
          <w:color w:val="auto"/>
          <w:sz w:val="24"/>
          <w:szCs w:val="24"/>
        </w:rPr>
      </w:pPr>
    </w:p>
    <w:p w14:paraId="716A5B03" w14:textId="77777777" w:rsidR="00076990" w:rsidRDefault="00076990" w:rsidP="00596F6D">
      <w:pPr>
        <w:pStyle w:val="Bodytext40"/>
        <w:shd w:val="clear" w:color="auto" w:fill="auto"/>
        <w:spacing w:before="0" w:after="0"/>
        <w:rPr>
          <w:rStyle w:val="Bodytext41"/>
          <w:rFonts w:asciiTheme="minorHAnsi" w:hAnsiTheme="minorHAnsi" w:cstheme="minorHAnsi"/>
          <w:b/>
          <w:bCs/>
          <w:i/>
          <w:iCs/>
          <w:color w:val="auto"/>
          <w:sz w:val="24"/>
          <w:szCs w:val="24"/>
        </w:rPr>
      </w:pPr>
    </w:p>
    <w:p w14:paraId="61702F03" w14:textId="77777777" w:rsidR="00076990" w:rsidRDefault="00076990" w:rsidP="00596F6D">
      <w:pPr>
        <w:pStyle w:val="Bodytext40"/>
        <w:shd w:val="clear" w:color="auto" w:fill="auto"/>
        <w:spacing w:before="0" w:after="0"/>
        <w:rPr>
          <w:rStyle w:val="Bodytext41"/>
          <w:rFonts w:asciiTheme="minorHAnsi" w:hAnsiTheme="minorHAnsi" w:cstheme="minorHAnsi"/>
          <w:b/>
          <w:bCs/>
          <w:i/>
          <w:iCs/>
          <w:color w:val="auto"/>
          <w:sz w:val="24"/>
          <w:szCs w:val="24"/>
        </w:rPr>
      </w:pPr>
    </w:p>
    <w:p w14:paraId="5167AD57" w14:textId="77777777" w:rsidR="00076990" w:rsidRDefault="00076990" w:rsidP="00596F6D">
      <w:pPr>
        <w:pStyle w:val="Bodytext40"/>
        <w:shd w:val="clear" w:color="auto" w:fill="auto"/>
        <w:spacing w:before="0" w:after="0"/>
        <w:rPr>
          <w:rStyle w:val="Bodytext41"/>
          <w:rFonts w:asciiTheme="minorHAnsi" w:hAnsiTheme="minorHAnsi" w:cstheme="minorHAnsi"/>
          <w:b/>
          <w:bCs/>
          <w:i/>
          <w:iCs/>
          <w:color w:val="auto"/>
          <w:sz w:val="24"/>
          <w:szCs w:val="24"/>
        </w:rPr>
      </w:pPr>
    </w:p>
    <w:p w14:paraId="464A8656" w14:textId="27C87CC7"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ANEXA Nr. 5</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77777777" w:rsidR="00596F6D" w:rsidRDefault="00596F6D"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65D0F11E" w14:textId="77777777" w:rsidR="00AE5AAC" w:rsidRDefault="00AE5AAC"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18E9BE95"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EBC0D9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BC94C54"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0646BA">
      <w:headerReference w:type="even" r:id="rId21"/>
      <w:headerReference w:type="default" r:id="rId22"/>
      <w:footerReference w:type="default" r:id="rId23"/>
      <w:headerReference w:type="first" r:id="rId24"/>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E6A8" w14:textId="77777777" w:rsidR="008E19FF" w:rsidRDefault="008E19FF">
      <w:r>
        <w:separator/>
      </w:r>
    </w:p>
  </w:endnote>
  <w:endnote w:type="continuationSeparator" w:id="0">
    <w:p w14:paraId="2CA65297" w14:textId="77777777" w:rsidR="008E19FF" w:rsidRDefault="008E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DA226" w14:textId="77777777" w:rsidR="007D5FCF" w:rsidRDefault="007D5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Footer"/>
          <w:jc w:val="right"/>
        </w:pPr>
        <w:r>
          <w:rPr>
            <w:noProof/>
          </w:rPr>
          <w:drawing>
            <wp:anchor distT="0" distB="0" distL="114300" distR="114300" simplePos="0" relativeHeight="251657728"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Footer"/>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564B5" w14:textId="77777777" w:rsidR="007D5FCF" w:rsidRDefault="007D5F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CC9C5" w14:textId="48838D1C" w:rsidR="002C06AE" w:rsidRDefault="00173AB4" w:rsidP="002C06AE">
    <w:pPr>
      <w:pStyle w:val="Footer"/>
      <w:jc w:val="right"/>
    </w:pPr>
    <w:r>
      <w:rPr>
        <w:noProof/>
      </w:rPr>
      <w:drawing>
        <wp:anchor distT="0" distB="0" distL="114300" distR="114300" simplePos="0" relativeHeight="251658752"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98283" w14:textId="77777777" w:rsidR="008E19FF" w:rsidRDefault="008E19FF"/>
  </w:footnote>
  <w:footnote w:type="continuationSeparator" w:id="0">
    <w:p w14:paraId="423CB176" w14:textId="77777777" w:rsidR="008E19FF" w:rsidRDefault="008E19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7286B" w14:textId="77777777" w:rsidR="007D5FCF" w:rsidRDefault="007D5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70501354" w14:textId="77777777" w:rsidR="00231BCD" w:rsidRDefault="00231BCD" w:rsidP="00C30D81">
    <w:pPr>
      <w:pStyle w:val="Header"/>
      <w:tabs>
        <w:tab w:val="clear" w:pos="4513"/>
        <w:tab w:val="clear" w:pos="9026"/>
        <w:tab w:val="left" w:pos="949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A4F4B" w14:textId="77777777" w:rsidR="007D5FCF" w:rsidRDefault="007D5F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94708" w14:textId="77777777" w:rsidR="007D5FCF" w:rsidRDefault="007D5FC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251655680"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251656704"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646BA"/>
    <w:rsid w:val="00064F3E"/>
    <w:rsid w:val="000675C3"/>
    <w:rsid w:val="00075010"/>
    <w:rsid w:val="00076990"/>
    <w:rsid w:val="00085480"/>
    <w:rsid w:val="00086DCC"/>
    <w:rsid w:val="000B188E"/>
    <w:rsid w:val="000C2284"/>
    <w:rsid w:val="000E32E0"/>
    <w:rsid w:val="000F2975"/>
    <w:rsid w:val="00111CB2"/>
    <w:rsid w:val="00113703"/>
    <w:rsid w:val="00116140"/>
    <w:rsid w:val="001165F3"/>
    <w:rsid w:val="00131517"/>
    <w:rsid w:val="0013304C"/>
    <w:rsid w:val="0013608B"/>
    <w:rsid w:val="00145E8D"/>
    <w:rsid w:val="0015187A"/>
    <w:rsid w:val="0016138B"/>
    <w:rsid w:val="00173AB4"/>
    <w:rsid w:val="00173F36"/>
    <w:rsid w:val="00180219"/>
    <w:rsid w:val="00185F47"/>
    <w:rsid w:val="001944D4"/>
    <w:rsid w:val="001B0964"/>
    <w:rsid w:val="001E5FCC"/>
    <w:rsid w:val="001F08CE"/>
    <w:rsid w:val="001F4090"/>
    <w:rsid w:val="00231BCD"/>
    <w:rsid w:val="00246C70"/>
    <w:rsid w:val="00252282"/>
    <w:rsid w:val="00262715"/>
    <w:rsid w:val="00284B49"/>
    <w:rsid w:val="002863D6"/>
    <w:rsid w:val="00286741"/>
    <w:rsid w:val="00294D2D"/>
    <w:rsid w:val="002A41EE"/>
    <w:rsid w:val="002B1CCD"/>
    <w:rsid w:val="002B4FFE"/>
    <w:rsid w:val="002B5B99"/>
    <w:rsid w:val="002C06AE"/>
    <w:rsid w:val="002C7674"/>
    <w:rsid w:val="002D2D00"/>
    <w:rsid w:val="00303C0B"/>
    <w:rsid w:val="0031226F"/>
    <w:rsid w:val="00314893"/>
    <w:rsid w:val="00314ADA"/>
    <w:rsid w:val="0037495F"/>
    <w:rsid w:val="0038028B"/>
    <w:rsid w:val="00396FE2"/>
    <w:rsid w:val="003A1BE2"/>
    <w:rsid w:val="003B3DDC"/>
    <w:rsid w:val="003E408C"/>
    <w:rsid w:val="003E56E3"/>
    <w:rsid w:val="003F0A7E"/>
    <w:rsid w:val="00406F4E"/>
    <w:rsid w:val="00414AB8"/>
    <w:rsid w:val="00417103"/>
    <w:rsid w:val="004259EB"/>
    <w:rsid w:val="00433EE6"/>
    <w:rsid w:val="00450383"/>
    <w:rsid w:val="00450858"/>
    <w:rsid w:val="0045332B"/>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412C"/>
    <w:rsid w:val="006039DC"/>
    <w:rsid w:val="00606179"/>
    <w:rsid w:val="006061A1"/>
    <w:rsid w:val="00620B5C"/>
    <w:rsid w:val="00632DE8"/>
    <w:rsid w:val="00633E1A"/>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50874"/>
    <w:rsid w:val="00767390"/>
    <w:rsid w:val="00776B8F"/>
    <w:rsid w:val="00786B36"/>
    <w:rsid w:val="00787A89"/>
    <w:rsid w:val="0079173D"/>
    <w:rsid w:val="00794775"/>
    <w:rsid w:val="007A161A"/>
    <w:rsid w:val="007A7799"/>
    <w:rsid w:val="007C0B99"/>
    <w:rsid w:val="007C3FE9"/>
    <w:rsid w:val="007D4CD0"/>
    <w:rsid w:val="007D5561"/>
    <w:rsid w:val="007D5FCF"/>
    <w:rsid w:val="007F1C83"/>
    <w:rsid w:val="008215A4"/>
    <w:rsid w:val="00836488"/>
    <w:rsid w:val="00845018"/>
    <w:rsid w:val="00845FE3"/>
    <w:rsid w:val="00852C3E"/>
    <w:rsid w:val="00852FB1"/>
    <w:rsid w:val="00857673"/>
    <w:rsid w:val="00871B00"/>
    <w:rsid w:val="00873FB5"/>
    <w:rsid w:val="008801F2"/>
    <w:rsid w:val="008841DA"/>
    <w:rsid w:val="00893CC5"/>
    <w:rsid w:val="008A5D63"/>
    <w:rsid w:val="008B0D42"/>
    <w:rsid w:val="008D215A"/>
    <w:rsid w:val="008D596E"/>
    <w:rsid w:val="008D5C59"/>
    <w:rsid w:val="008E19FF"/>
    <w:rsid w:val="008E223B"/>
    <w:rsid w:val="008E5717"/>
    <w:rsid w:val="008F0DE5"/>
    <w:rsid w:val="008F31D2"/>
    <w:rsid w:val="008F37F1"/>
    <w:rsid w:val="009034FC"/>
    <w:rsid w:val="00905209"/>
    <w:rsid w:val="00916F63"/>
    <w:rsid w:val="00937B0F"/>
    <w:rsid w:val="00942010"/>
    <w:rsid w:val="0094390A"/>
    <w:rsid w:val="00956074"/>
    <w:rsid w:val="00956E69"/>
    <w:rsid w:val="0096729F"/>
    <w:rsid w:val="00967FC5"/>
    <w:rsid w:val="00973327"/>
    <w:rsid w:val="00980767"/>
    <w:rsid w:val="00982656"/>
    <w:rsid w:val="009840B5"/>
    <w:rsid w:val="009A50F2"/>
    <w:rsid w:val="009B3B26"/>
    <w:rsid w:val="009B77EA"/>
    <w:rsid w:val="009C07B4"/>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4393C"/>
    <w:rsid w:val="00C51029"/>
    <w:rsid w:val="00C53819"/>
    <w:rsid w:val="00C53D2A"/>
    <w:rsid w:val="00C60CA7"/>
    <w:rsid w:val="00C62E59"/>
    <w:rsid w:val="00C70D63"/>
    <w:rsid w:val="00C72562"/>
    <w:rsid w:val="00C973BE"/>
    <w:rsid w:val="00CA733C"/>
    <w:rsid w:val="00CB043D"/>
    <w:rsid w:val="00CB5D90"/>
    <w:rsid w:val="00CD5E3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261E"/>
    <w:rsid w:val="00DD4244"/>
    <w:rsid w:val="00DE223A"/>
    <w:rsid w:val="00E03DBC"/>
    <w:rsid w:val="00E1743B"/>
    <w:rsid w:val="00E372DA"/>
    <w:rsid w:val="00E45006"/>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33772"/>
    <w:rsid w:val="00F36D40"/>
    <w:rsid w:val="00F37EA9"/>
    <w:rsid w:val="00F412BC"/>
    <w:rsid w:val="00F4436A"/>
    <w:rsid w:val="00F76335"/>
    <w:rsid w:val="00F973DA"/>
    <w:rsid w:val="00FA00B0"/>
    <w:rsid w:val="00FA19DD"/>
    <w:rsid w:val="00FB4EDE"/>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ph"/>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DefaultParagraphFon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NoList"/>
    <w:uiPriority w:val="99"/>
    <w:rsid w:val="006D0AC8"/>
    <w:pPr>
      <w:numPr>
        <w:numId w:val="45"/>
      </w:numPr>
    </w:pPr>
  </w:style>
  <w:style w:type="paragraph" w:styleId="FootnoteText">
    <w:name w:val="footnote text"/>
    <w:basedOn w:val="Normal"/>
    <w:link w:val="FootnoteTextCha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5E55E4"/>
    <w:rPr>
      <w:rFonts w:ascii="Times New Roman" w:eastAsia="Times New Roman" w:hAnsi="Times New Roman" w:cs="Times New Roman"/>
      <w:sz w:val="20"/>
      <w:szCs w:val="20"/>
      <w:lang w:val="en-US" w:eastAsia="en-US" w:bidi="ar-SA"/>
    </w:rPr>
  </w:style>
  <w:style w:type="character" w:styleId="CommentReference">
    <w:name w:val="annotation reference"/>
    <w:basedOn w:val="DefaultParagraphFont"/>
    <w:uiPriority w:val="99"/>
    <w:semiHidden/>
    <w:unhideWhenUsed/>
    <w:rsid w:val="00314893"/>
    <w:rPr>
      <w:sz w:val="16"/>
      <w:szCs w:val="16"/>
    </w:rPr>
  </w:style>
  <w:style w:type="paragraph" w:styleId="CommentText">
    <w:name w:val="annotation text"/>
    <w:basedOn w:val="Normal"/>
    <w:link w:val="CommentTextChar"/>
    <w:uiPriority w:val="99"/>
    <w:semiHidden/>
    <w:unhideWhenUsed/>
    <w:rsid w:val="00314893"/>
    <w:rPr>
      <w:sz w:val="20"/>
      <w:szCs w:val="20"/>
    </w:rPr>
  </w:style>
  <w:style w:type="character" w:customStyle="1" w:styleId="CommentTextChar">
    <w:name w:val="Comment Text Char"/>
    <w:basedOn w:val="DefaultParagraphFont"/>
    <w:link w:val="CommentText"/>
    <w:uiPriority w:val="99"/>
    <w:semiHidden/>
    <w:rsid w:val="00314893"/>
    <w:rPr>
      <w:color w:val="000000"/>
      <w:sz w:val="20"/>
      <w:szCs w:val="20"/>
    </w:rPr>
  </w:style>
  <w:style w:type="paragraph" w:styleId="CommentSubject">
    <w:name w:val="annotation subject"/>
    <w:basedOn w:val="CommentText"/>
    <w:next w:val="CommentText"/>
    <w:link w:val="CommentSubjectChar"/>
    <w:uiPriority w:val="99"/>
    <w:semiHidden/>
    <w:unhideWhenUsed/>
    <w:rsid w:val="00314893"/>
    <w:rPr>
      <w:b/>
      <w:bCs/>
    </w:rPr>
  </w:style>
  <w:style w:type="character" w:customStyle="1" w:styleId="CommentSubjectChar">
    <w:name w:val="Comment Subject Char"/>
    <w:basedOn w:val="CommentTextChar"/>
    <w:link w:val="CommentSubject"/>
    <w:uiPriority w:val="99"/>
    <w:semiHidden/>
    <w:rsid w:val="00314893"/>
    <w:rPr>
      <w:b/>
      <w:bCs/>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14893"/>
    <w:pPr>
      <w:widowControl/>
      <w:spacing w:after="160" w:line="240" w:lineRule="exact"/>
    </w:pPr>
    <w:rPr>
      <w:color w:va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tmojxgu2de/contractul-de-finantare-din-25052023?pid=529118177&amp;d=2023-09-01" TargetMode="External"/><Relationship Id="rId13" Type="http://schemas.openxmlformats.org/officeDocument/2006/relationships/hyperlink" Target="https://lege5.ro/App/Document/geztmojxgu2de/contractul-de-finantare-din-25052023?pid=529118076&amp;d=2023-09-01"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2&amp;d=2023-09-01"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haydsnjqgiya/regulamentul-nr-1056-2021-de-instituire-a-fondului-pentru-o-tranzitie-justa?d=2023-09-01"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https://lege5.ro/App/Document/haydsnjqgiya/regulamentul-nr-1056-2021-de-instituire-a-fondului-pentru-o-tranzitie-justa?pid=398100530&amp;d=2023-09-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42&amp;d=2023-09-01"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12238</Words>
  <Characters>69763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Alina Cusu</cp:lastModifiedBy>
  <cp:revision>9</cp:revision>
  <cp:lastPrinted>2024-03-22T11:19:00Z</cp:lastPrinted>
  <dcterms:created xsi:type="dcterms:W3CDTF">2023-12-14T09:59:00Z</dcterms:created>
  <dcterms:modified xsi:type="dcterms:W3CDTF">2024-05-14T08:15:00Z</dcterms:modified>
</cp:coreProperties>
</file>