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Program: </w:t>
      </w:r>
      <w:r w:rsidR="00776246" w:rsidRPr="00296A6E">
        <w:rPr>
          <w:rFonts w:ascii="Trebuchet MS" w:hAnsi="Trebuchet MS"/>
        </w:rPr>
        <w:t>Programul Regional Sud-Muntenia 2021-2027</w:t>
      </w:r>
    </w:p>
    <w:p w14:paraId="2B78CFBD" w14:textId="42DB17E7"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Prioritate: </w:t>
      </w:r>
      <w:r w:rsidR="00296A6E" w:rsidRPr="00296A6E">
        <w:rPr>
          <w:rFonts w:ascii="Trebuchet MS" w:hAnsi="Trebuchet MS"/>
        </w:rPr>
        <w:t>2 - O regiune cu orașe prietenoase cu mediu</w:t>
      </w:r>
    </w:p>
    <w:p w14:paraId="00FE8381" w14:textId="77777777" w:rsidR="00296A6E" w:rsidRDefault="00296A6E" w:rsidP="00776246">
      <w:pPr>
        <w:spacing w:after="0" w:line="240" w:lineRule="auto"/>
        <w:jc w:val="both"/>
        <w:rPr>
          <w:rFonts w:ascii="Trebuchet MS" w:hAnsi="Trebuchet MS"/>
        </w:rPr>
      </w:pPr>
      <w:r w:rsidRPr="00296A6E">
        <w:rPr>
          <w:rFonts w:ascii="Trebuchet MS" w:hAnsi="Trebuchet MS"/>
        </w:rPr>
        <w:t>Obiectivul Specific RSO 2.1 - Promovarea eficienței energetice și reducerea emisiilor de gaze cu efect de seră</w:t>
      </w:r>
    </w:p>
    <w:p w14:paraId="0FEA4CC1" w14:textId="77777777" w:rsidR="00296A6E" w:rsidRDefault="002F6292" w:rsidP="00296A6E">
      <w:pPr>
        <w:spacing w:after="0" w:line="240" w:lineRule="auto"/>
        <w:jc w:val="both"/>
        <w:rPr>
          <w:rFonts w:ascii="Trebuchet MS" w:hAnsi="Trebuchet MS"/>
        </w:rPr>
      </w:pPr>
      <w:r w:rsidRPr="00296A6E">
        <w:rPr>
          <w:rFonts w:ascii="Trebuchet MS" w:hAnsi="Trebuchet MS"/>
        </w:rPr>
        <w:t xml:space="preserve">Apel de proiecte: </w:t>
      </w:r>
      <w:r w:rsidR="00296A6E" w:rsidRPr="00296A6E">
        <w:rPr>
          <w:rFonts w:ascii="Trebuchet MS" w:hAnsi="Trebuchet MS"/>
        </w:rPr>
        <w:t>Promovarea eficienței energetice și reducerea emisiilor de gaze cu efect de seră prin investiții în clădiri publice, proiecte etapizate</w:t>
      </w:r>
    </w:p>
    <w:p w14:paraId="55D68B8A" w14:textId="77777777" w:rsidR="00296A6E" w:rsidRDefault="00296A6E" w:rsidP="00296A6E">
      <w:pPr>
        <w:spacing w:after="0" w:line="240" w:lineRule="auto"/>
        <w:jc w:val="both"/>
        <w:rPr>
          <w:rFonts w:ascii="Trebuchet MS" w:hAnsi="Trebuchet MS"/>
        </w:rPr>
      </w:pPr>
    </w:p>
    <w:p w14:paraId="6D824ABA" w14:textId="2A8F4854" w:rsidR="00B01FD4" w:rsidRPr="00296A6E" w:rsidRDefault="00B01FD4" w:rsidP="00296A6E">
      <w:pPr>
        <w:spacing w:after="0" w:line="240" w:lineRule="auto"/>
        <w:jc w:val="both"/>
        <w:rPr>
          <w:rFonts w:ascii="Trebuchet MS" w:hAnsi="Trebuchet MS"/>
          <w:highlight w:val="lightGray"/>
        </w:rPr>
      </w:pPr>
      <w:r w:rsidRPr="00296A6E">
        <w:rPr>
          <w:rFonts w:ascii="Trebuchet MS" w:hAnsi="Trebuchet MS"/>
        </w:rPr>
        <w:t xml:space="preserve">Cod SMIS: </w:t>
      </w:r>
      <w:r w:rsidRPr="00296A6E">
        <w:rPr>
          <w:rFonts w:ascii="Trebuchet MS" w:hAnsi="Trebuchet MS"/>
          <w:highlight w:val="lightGray"/>
        </w:rPr>
        <w:t>&lt;cod SMIS&gt;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5DFBCD9C" w14:textId="77777777" w:rsidR="00DB435B" w:rsidRDefault="009E7ED4" w:rsidP="007A1685">
      <w:pPr>
        <w:pStyle w:val="bullet"/>
        <w:numPr>
          <w:ilvl w:val="0"/>
          <w:numId w:val="0"/>
        </w:numPr>
        <w:spacing w:before="0" w:after="0" w:line="360" w:lineRule="auto"/>
        <w:ind w:left="270" w:hanging="360"/>
        <w:rPr>
          <w:rFonts w:cs="Calibri"/>
          <w:sz w:val="22"/>
          <w:szCs w:val="22"/>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w:t>
      </w:r>
      <w:r w:rsidR="00DB435B">
        <w:rPr>
          <w:rFonts w:cs="Calibri"/>
          <w:sz w:val="22"/>
          <w:szCs w:val="22"/>
        </w:rPr>
        <w:t xml:space="preserve">. </w:t>
      </w:r>
    </w:p>
    <w:p w14:paraId="4912303E" w14:textId="2342DB86" w:rsidR="0026620E" w:rsidRPr="00296A6E" w:rsidRDefault="00DE6705" w:rsidP="007A1685">
      <w:pPr>
        <w:pStyle w:val="bullet"/>
        <w:numPr>
          <w:ilvl w:val="0"/>
          <w:numId w:val="0"/>
        </w:numPr>
        <w:spacing w:before="0" w:after="0" w:line="360" w:lineRule="auto"/>
        <w:ind w:left="270" w:hanging="360"/>
        <w:rPr>
          <w:i/>
          <w:iCs/>
          <w:sz w:val="22"/>
          <w:szCs w:val="22"/>
          <w:lang w:eastAsia="sk-SK"/>
        </w:rPr>
      </w:pPr>
      <w:r w:rsidRPr="00296A6E">
        <w:rPr>
          <w:rFonts w:cs="Calibri"/>
          <w:sz w:val="22"/>
          <w:szCs w:val="22"/>
        </w:rPr>
        <w:t xml:space="preserve">Solicitantul </w:t>
      </w:r>
      <w:r w:rsidR="00DB435B">
        <w:rPr>
          <w:rFonts w:cs="Calibri"/>
          <w:sz w:val="22"/>
          <w:szCs w:val="22"/>
        </w:rPr>
        <w:t xml:space="preserve">eligibil în cadrul prezentului apel </w:t>
      </w:r>
      <w:r w:rsidRPr="00296A6E">
        <w:rPr>
          <w:rFonts w:cs="Calibri"/>
          <w:sz w:val="22"/>
          <w:szCs w:val="22"/>
        </w:rPr>
        <w:t xml:space="preserve">este menționat în Lista </w:t>
      </w:r>
      <w:r w:rsidR="00DB435B">
        <w:rPr>
          <w:rFonts w:cs="Calibri"/>
          <w:sz w:val="22"/>
          <w:szCs w:val="22"/>
        </w:rPr>
        <w:t>operaţiunilor</w:t>
      </w:r>
      <w:r w:rsidRPr="00296A6E">
        <w:rPr>
          <w:rFonts w:cs="Calibri"/>
          <w:sz w:val="22"/>
          <w:szCs w:val="22"/>
        </w:rPr>
        <w:t xml:space="preserve"> etapizate</w:t>
      </w:r>
      <w:r w:rsidR="00DB435B">
        <w:rPr>
          <w:rFonts w:cs="Calibri"/>
          <w:sz w:val="22"/>
          <w:szCs w:val="22"/>
        </w:rPr>
        <w:t>, anexată ghidului</w:t>
      </w:r>
      <w:r w:rsidRPr="00296A6E">
        <w:rPr>
          <w:rFonts w:cs="Calibri"/>
          <w:sz w:val="22"/>
          <w:szCs w:val="22"/>
        </w:rPr>
        <w:t>.</w:t>
      </w: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2"/>
    <w:p w14:paraId="14BBF43B" w14:textId="6C1587D5"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w:t>
      </w:r>
      <w:r w:rsidR="000B4B99">
        <w:rPr>
          <w:rFonts w:ascii="Trebuchet MS" w:eastAsia="Times New Roman" w:hAnsi="Trebuchet MS" w:cs="Calibri"/>
        </w:rPr>
        <w:t xml:space="preserve">pentru etapa a doua, </w:t>
      </w:r>
      <w:r w:rsidR="00B42D90" w:rsidRPr="00296A6E">
        <w:rPr>
          <w:rFonts w:ascii="Trebuchet MS" w:eastAsia="Times New Roman" w:hAnsi="Trebuchet MS" w:cs="Calibri"/>
        </w:rPr>
        <w:t xml:space="preserve">solicitantul, în cazul în care va primi finanțare din Programul Regional Sud Muntenia 2021-2027, pe termenul de </w:t>
      </w:r>
      <w:r w:rsidR="000B4B99">
        <w:rPr>
          <w:rFonts w:ascii="Trebuchet MS" w:eastAsia="Times New Roman" w:hAnsi="Trebuchet MS" w:cs="Calibri"/>
        </w:rPr>
        <w:t>cinci</w:t>
      </w:r>
      <w:r w:rsidR="00B42D90" w:rsidRPr="00296A6E">
        <w:rPr>
          <w:rFonts w:ascii="Trebuchet MS" w:eastAsia="Times New Roman" w:hAnsi="Trebuchet MS" w:cs="Calibri"/>
        </w:rPr>
        <w:t xml:space="preserve"> ani ani de la </w:t>
      </w:r>
      <w:r w:rsidR="000B4B99">
        <w:rPr>
          <w:rFonts w:ascii="Trebuchet MS" w:eastAsia="Times New Roman" w:hAnsi="Trebuchet MS" w:cs="Calibri"/>
        </w:rPr>
        <w:t>efectuarea p</w:t>
      </w:r>
      <w:r w:rsidR="00B42D90" w:rsidRPr="00296A6E">
        <w:rPr>
          <w:rFonts w:ascii="Trebuchet MS" w:eastAsia="Times New Roman" w:hAnsi="Trebuchet MS" w:cs="Calibri"/>
        </w:rPr>
        <w:t>lăţii finale</w:t>
      </w:r>
      <w:r w:rsidR="000B4B99">
        <w:rPr>
          <w:rFonts w:ascii="Trebuchet MS" w:eastAsia="Times New Roman" w:hAnsi="Trebuchet MS" w:cs="Calibri"/>
        </w:rPr>
        <w:t xml:space="preserve"> către beneficiar</w:t>
      </w:r>
      <w:r w:rsidR="00B42D90" w:rsidRPr="00296A6E">
        <w:rPr>
          <w:rFonts w:ascii="Trebuchet MS" w:eastAsia="Times New Roman" w:hAnsi="Trebuchet MS" w:cs="Calibri"/>
        </w:rPr>
        <w:t xml:space="preserve">, nu trebuie să :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lastRenderedPageBreak/>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0A59AE82" w14:textId="65ED7630" w:rsidR="00590B2A" w:rsidRPr="00296A6E" w:rsidRDefault="00B42D90" w:rsidP="000B4B99">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r w:rsidR="000B4B99">
        <w:rPr>
          <w:rFonts w:ascii="Trebuchet MS" w:eastAsia="Times New Roman" w:hAnsi="Trebuchet MS" w:cs="Calibri"/>
        </w:rPr>
        <w:t>.</w:t>
      </w:r>
    </w:p>
    <w:p w14:paraId="5AE950ED" w14:textId="1A4A34A5" w:rsidR="007D3A7D" w:rsidRPr="00E45953"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w:t>
      </w:r>
      <w:r w:rsidR="006D20F8">
        <w:rPr>
          <w:rFonts w:ascii="Trebuchet MS" w:eastAsia="Times New Roman" w:hAnsi="Trebuchet MS" w:cs="Calibri"/>
          <w:b/>
          <w:bCs/>
          <w:iCs/>
        </w:rPr>
        <w:t>are</w:t>
      </w:r>
      <w:r w:rsidR="007D3A7D" w:rsidRPr="007D3A7D">
        <w:rPr>
          <w:rFonts w:ascii="Trebuchet MS" w:eastAsia="Times New Roman" w:hAnsi="Trebuchet MS" w:cs="Calibri"/>
          <w:b/>
          <w:bCs/>
          <w:iCs/>
        </w:rPr>
        <w:t xml:space="preserve">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6FF2A0A8" w14:textId="7028736A" w:rsidR="00590B2A" w:rsidRPr="00E45953" w:rsidRDefault="002169DD" w:rsidP="00E45953">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bookmarkEnd w:id="4"/>
      <w:r w:rsidR="00E45953">
        <w:rPr>
          <w:rFonts w:ascii="Trebuchet MS" w:hAnsi="Trebuchet MS"/>
          <w:iCs/>
        </w:rPr>
        <w:t>.</w:t>
      </w:r>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05739699" w14:textId="5AE0A656" w:rsidR="00590B2A" w:rsidRPr="00E45953" w:rsidRDefault="00590B2A" w:rsidP="00E45953">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5</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57F44D6F"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6</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341F9AD4"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E45953">
        <w:rPr>
          <w:b/>
          <w:bCs/>
          <w:iCs/>
          <w:lang w:eastAsia="sk-SK"/>
        </w:rPr>
        <w:t>7</w:t>
      </w:r>
      <w:r w:rsidR="00060A6A" w:rsidRPr="00296A6E">
        <w:rPr>
          <w:b/>
          <w:bCs/>
          <w:iCs/>
          <w:lang w:eastAsia="sk-SK"/>
        </w:rPr>
        <w:t>.</w:t>
      </w:r>
      <w:r w:rsidR="00060A6A" w:rsidRPr="00296A6E">
        <w:rPr>
          <w:iCs/>
          <w:lang w:eastAsia="sk-SK"/>
        </w:rPr>
        <w:t xml:space="preserve"> </w:t>
      </w:r>
      <w:r w:rsidRPr="00296A6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6F2516A8" w14:textId="3DF4DA4A"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8</w:t>
      </w:r>
      <w:r w:rsidRPr="00296A6E">
        <w:rPr>
          <w:b/>
          <w:bCs/>
          <w:iCs/>
          <w:lang w:eastAsia="sk-SK"/>
        </w:rPr>
        <w:t>.</w:t>
      </w:r>
      <w:r w:rsidRPr="00296A6E">
        <w:rPr>
          <w:iCs/>
          <w:lang w:eastAsia="sk-SK"/>
        </w:rPr>
        <w:t xml:space="preserve"> </w:t>
      </w:r>
      <w:r w:rsidRPr="00296A6E">
        <w:rPr>
          <w:rFonts w:ascii="Trebuchet MS" w:hAnsi="Trebuchet MS"/>
          <w:iCs/>
        </w:rPr>
        <w:t xml:space="preserve">Proiectul se încadrează în Obiectivul Specific </w:t>
      </w:r>
      <w:r w:rsidR="001072B2">
        <w:rPr>
          <w:rFonts w:ascii="Trebuchet MS" w:hAnsi="Trebuchet MS"/>
          <w:iCs/>
        </w:rPr>
        <w:t>2.1</w:t>
      </w:r>
      <w:r w:rsidRPr="00296A6E">
        <w:rPr>
          <w:rFonts w:ascii="Trebuchet MS" w:hAnsi="Trebuchet MS"/>
          <w:iCs/>
        </w:rPr>
        <w:t xml:space="preserve"> al Priorităţii </w:t>
      </w:r>
      <w:r w:rsidR="001072B2">
        <w:rPr>
          <w:rFonts w:ascii="Trebuchet MS" w:hAnsi="Trebuchet MS"/>
          <w:iCs/>
        </w:rPr>
        <w:t>2</w:t>
      </w:r>
      <w:r w:rsidRPr="00296A6E">
        <w:rPr>
          <w:rFonts w:ascii="Trebuchet MS" w:hAnsi="Trebuchet MS"/>
          <w:iCs/>
        </w:rPr>
        <w:t xml:space="preserve"> din Programul Regional Sud-Muntenia 2021-2027, respectiv în acţiunile prevăzute în cadrul secţiunii 5.2.2 din prezentul ghid.</w:t>
      </w:r>
    </w:p>
    <w:p w14:paraId="0D4C5AED" w14:textId="65279D34" w:rsidR="003D54BC" w:rsidRPr="00296A6E" w:rsidRDefault="003D54BC" w:rsidP="003D54BC">
      <w:pPr>
        <w:suppressAutoHyphens w:val="0"/>
        <w:spacing w:line="360" w:lineRule="auto"/>
        <w:jc w:val="both"/>
        <w:rPr>
          <w:rFonts w:ascii="Trebuchet MS" w:hAnsi="Trebuchet M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9</w:t>
      </w:r>
      <w:r w:rsidRPr="00296A6E">
        <w:rPr>
          <w:b/>
          <w:bCs/>
          <w:iCs/>
          <w:lang w:eastAsia="sk-SK"/>
        </w:rPr>
        <w:t>.</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13742C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0</w:t>
      </w:r>
      <w:r w:rsidRPr="00296A6E">
        <w:rPr>
          <w:b/>
          <w:bCs/>
          <w:iCs/>
          <w:lang w:eastAsia="sk-SK"/>
        </w:rPr>
        <w:t>.</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ECF3DF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1</w:t>
      </w:r>
      <w:r w:rsidRPr="00296A6E">
        <w:rPr>
          <w:b/>
          <w:bCs/>
          <w:iCs/>
          <w:lang w:eastAsia="sk-SK"/>
        </w:rPr>
        <w:t>.</w:t>
      </w:r>
      <w:r w:rsidRPr="00296A6E">
        <w:rPr>
          <w:rFonts w:ascii="Trebuchet MS" w:hAnsi="Trebuchet MS"/>
          <w:iCs/>
        </w:rPr>
        <w:t xml:space="preserve"> Costul total al ambelor etape ale operațiunii depășește 1 milion de euro.</w:t>
      </w:r>
    </w:p>
    <w:p w14:paraId="727BB1E7" w14:textId="6EB8161D"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2</w:t>
      </w:r>
      <w:r w:rsidRPr="00296A6E">
        <w:rPr>
          <w:b/>
          <w:bCs/>
          <w:iCs/>
          <w:lang w:eastAsia="sk-SK"/>
        </w:rPr>
        <w:t>.</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40E6698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w:t>
      </w:r>
      <w:r w:rsidR="00E45953">
        <w:rPr>
          <w:b/>
          <w:bCs/>
          <w:iCs/>
          <w:lang w:eastAsia="sk-SK"/>
        </w:rPr>
        <w:t>3</w:t>
      </w:r>
      <w:r w:rsidRPr="007D3A7D">
        <w:rPr>
          <w:b/>
          <w:bCs/>
          <w:iCs/>
          <w:lang w:eastAsia="sk-SK"/>
        </w:rPr>
        <w:t>.</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386FA7DB"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4</w:t>
      </w:r>
      <w:r w:rsidRPr="007D3A7D">
        <w:rPr>
          <w:b/>
          <w:bCs/>
          <w:iCs/>
          <w:sz w:val="24"/>
          <w:lang w:eastAsia="sk-SK"/>
        </w:rPr>
        <w:t xml:space="preserve">.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453E6692" w:rsidR="007D3A7D" w:rsidRPr="0013443D" w:rsidRDefault="007D3A7D" w:rsidP="0013443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5</w:t>
      </w:r>
      <w:r w:rsidRPr="007D3A7D">
        <w:rPr>
          <w:b/>
          <w:bCs/>
          <w:iCs/>
          <w:sz w:val="24"/>
          <w:lang w:eastAsia="sk-SK"/>
        </w:rPr>
        <w:t xml:space="preserve">. </w:t>
      </w:r>
      <w:r w:rsidRPr="007D3A7D">
        <w:rPr>
          <w:rFonts w:ascii="Trebuchet MS" w:hAnsi="Trebuchet MS"/>
          <w:iCs/>
        </w:rPr>
        <w:t>Proiectul respectă principiul de ”a nu prejudicia în mod semnificativ” (”do no significant harm” -DNSH).</w:t>
      </w:r>
      <w:bookmarkStart w:id="11" w:name="__Fieldmark__14342_1580758020"/>
      <w:bookmarkEnd w:id="11"/>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 xml:space="preserve">este în situație de criză financiară/ redresare financiară/ incapacitate de plată/ în stare de insolvenţă, conform Ordonanței de Urgență a Guvernului nr. 46/2013 privind criza financiară </w:t>
      </w:r>
      <w:r w:rsidR="00173B4A" w:rsidRPr="00296A6E">
        <w:rPr>
          <w:rFonts w:ascii="Trebuchet MS" w:hAnsi="Trebuchet MS" w:cs="Calibri"/>
        </w:rPr>
        <w:lastRenderedPageBreak/>
        <w:t>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w:t>
      </w:r>
      <w:r w:rsidRPr="00296A6E">
        <w:rPr>
          <w:rFonts w:ascii="Trebuchet MS" w:hAnsi="Trebuchet MS"/>
          <w:iCs/>
        </w:rPr>
        <w:lastRenderedPageBreak/>
        <w:t xml:space="preserve">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lastRenderedPageBreak/>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aplicabile bugetului general al Uniunii, 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lastRenderedPageBreak/>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298FA" w14:textId="77777777" w:rsidR="00EA4FEA" w:rsidRDefault="00EA4FEA">
      <w:pPr>
        <w:spacing w:after="0" w:line="240" w:lineRule="auto"/>
      </w:pPr>
      <w:r>
        <w:separator/>
      </w:r>
    </w:p>
  </w:endnote>
  <w:endnote w:type="continuationSeparator" w:id="0">
    <w:p w14:paraId="4678A7F7" w14:textId="77777777" w:rsidR="00EA4FEA" w:rsidRDefault="00EA4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50521" w14:textId="77777777" w:rsidR="00EA4FEA" w:rsidRDefault="00EA4FEA">
      <w:pPr>
        <w:spacing w:after="0" w:line="240" w:lineRule="auto"/>
      </w:pPr>
      <w:r>
        <w:separator/>
      </w:r>
    </w:p>
  </w:footnote>
  <w:footnote w:type="continuationSeparator" w:id="0">
    <w:p w14:paraId="626C4BE2" w14:textId="77777777" w:rsidR="00EA4FEA" w:rsidRDefault="00EA4F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71479C0"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B4B99"/>
    <w:rsid w:val="000E5EC6"/>
    <w:rsid w:val="00103A44"/>
    <w:rsid w:val="001072B2"/>
    <w:rsid w:val="0013443D"/>
    <w:rsid w:val="00173B4A"/>
    <w:rsid w:val="00174C25"/>
    <w:rsid w:val="00193DF2"/>
    <w:rsid w:val="0019423B"/>
    <w:rsid w:val="0019569F"/>
    <w:rsid w:val="001B2B63"/>
    <w:rsid w:val="001C10E3"/>
    <w:rsid w:val="001D35A3"/>
    <w:rsid w:val="002169DD"/>
    <w:rsid w:val="00231C4D"/>
    <w:rsid w:val="00235ED1"/>
    <w:rsid w:val="00251D68"/>
    <w:rsid w:val="0026620E"/>
    <w:rsid w:val="00273CF4"/>
    <w:rsid w:val="00296A6E"/>
    <w:rsid w:val="002A2A7D"/>
    <w:rsid w:val="002B7CF4"/>
    <w:rsid w:val="002C1C95"/>
    <w:rsid w:val="002D6A3E"/>
    <w:rsid w:val="002F6292"/>
    <w:rsid w:val="00311AB4"/>
    <w:rsid w:val="0035348F"/>
    <w:rsid w:val="0035427B"/>
    <w:rsid w:val="00362C0F"/>
    <w:rsid w:val="003920A3"/>
    <w:rsid w:val="003C403D"/>
    <w:rsid w:val="003D54BC"/>
    <w:rsid w:val="003D7D7C"/>
    <w:rsid w:val="003E151B"/>
    <w:rsid w:val="00431DBE"/>
    <w:rsid w:val="0043652C"/>
    <w:rsid w:val="004501E9"/>
    <w:rsid w:val="004544CE"/>
    <w:rsid w:val="00463159"/>
    <w:rsid w:val="004675DA"/>
    <w:rsid w:val="00482A15"/>
    <w:rsid w:val="004B3C66"/>
    <w:rsid w:val="004B52C0"/>
    <w:rsid w:val="004C3718"/>
    <w:rsid w:val="00517B96"/>
    <w:rsid w:val="00525C66"/>
    <w:rsid w:val="005543A6"/>
    <w:rsid w:val="00590B2A"/>
    <w:rsid w:val="00593390"/>
    <w:rsid w:val="005954C9"/>
    <w:rsid w:val="00597DA4"/>
    <w:rsid w:val="005A1211"/>
    <w:rsid w:val="005B721A"/>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20F8"/>
    <w:rsid w:val="006D4C6B"/>
    <w:rsid w:val="006D632D"/>
    <w:rsid w:val="006F0A64"/>
    <w:rsid w:val="00721CB6"/>
    <w:rsid w:val="0073653B"/>
    <w:rsid w:val="00751427"/>
    <w:rsid w:val="0075429B"/>
    <w:rsid w:val="00776246"/>
    <w:rsid w:val="007A1685"/>
    <w:rsid w:val="007C11F6"/>
    <w:rsid w:val="007D3A7D"/>
    <w:rsid w:val="007F41BC"/>
    <w:rsid w:val="008151E3"/>
    <w:rsid w:val="00830349"/>
    <w:rsid w:val="00831A56"/>
    <w:rsid w:val="008478DA"/>
    <w:rsid w:val="008875B0"/>
    <w:rsid w:val="00895132"/>
    <w:rsid w:val="008A4760"/>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608A8"/>
    <w:rsid w:val="00A645DE"/>
    <w:rsid w:val="00A667B5"/>
    <w:rsid w:val="00A908EC"/>
    <w:rsid w:val="00A913AE"/>
    <w:rsid w:val="00AB0CDA"/>
    <w:rsid w:val="00AC4299"/>
    <w:rsid w:val="00AC6814"/>
    <w:rsid w:val="00AD657E"/>
    <w:rsid w:val="00B01FD4"/>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C03D9E"/>
    <w:rsid w:val="00C0719B"/>
    <w:rsid w:val="00C64D98"/>
    <w:rsid w:val="00C66698"/>
    <w:rsid w:val="00C75AAE"/>
    <w:rsid w:val="00CA601F"/>
    <w:rsid w:val="00CA7EC1"/>
    <w:rsid w:val="00CD062E"/>
    <w:rsid w:val="00CE456C"/>
    <w:rsid w:val="00D02207"/>
    <w:rsid w:val="00D309A0"/>
    <w:rsid w:val="00D61D10"/>
    <w:rsid w:val="00DB435B"/>
    <w:rsid w:val="00DC71B2"/>
    <w:rsid w:val="00DD26FF"/>
    <w:rsid w:val="00DD4B93"/>
    <w:rsid w:val="00DE1C7F"/>
    <w:rsid w:val="00DE6705"/>
    <w:rsid w:val="00E137C7"/>
    <w:rsid w:val="00E30336"/>
    <w:rsid w:val="00E32FEC"/>
    <w:rsid w:val="00E43337"/>
    <w:rsid w:val="00E45953"/>
    <w:rsid w:val="00E56414"/>
    <w:rsid w:val="00E63D2A"/>
    <w:rsid w:val="00E7541E"/>
    <w:rsid w:val="00E83503"/>
    <w:rsid w:val="00EA101D"/>
    <w:rsid w:val="00EA4FEA"/>
    <w:rsid w:val="00ED03BA"/>
    <w:rsid w:val="00EE24E5"/>
    <w:rsid w:val="00EF0AAB"/>
    <w:rsid w:val="00F37D4B"/>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18</cp:revision>
  <dcterms:created xsi:type="dcterms:W3CDTF">2023-06-27T07:05:00Z</dcterms:created>
  <dcterms:modified xsi:type="dcterms:W3CDTF">2024-06-12T12:07:00Z</dcterms:modified>
  <dc:language>en-GB</dc:language>
</cp:coreProperties>
</file>