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BEE7281" w14:textId="77777777" w:rsidR="00C01D2C" w:rsidRPr="00C01D2C" w:rsidRDefault="00C01D2C" w:rsidP="00C01D2C">
      <w:pPr>
        <w:spacing w:after="0" w:line="360" w:lineRule="auto"/>
        <w:jc w:val="both"/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</w:pPr>
      <w:bookmarkStart w:id="0" w:name="_Hlk145407000"/>
      <w:bookmarkStart w:id="1" w:name="_Hlk169093950"/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 xml:space="preserve">Program: </w:t>
      </w:r>
      <w:bookmarkStart w:id="2" w:name="_Hlk169093934"/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>Programul Regional Sud-Muntenia 2021-2027</w:t>
      </w:r>
      <w:bookmarkEnd w:id="2"/>
    </w:p>
    <w:bookmarkEnd w:id="0"/>
    <w:p w14:paraId="15ABA0F3" w14:textId="77777777" w:rsidR="00C01D2C" w:rsidRPr="00C01D2C" w:rsidRDefault="00C01D2C" w:rsidP="00C01D2C">
      <w:pPr>
        <w:spacing w:after="0" w:line="360" w:lineRule="auto"/>
        <w:jc w:val="both"/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</w:pPr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>Prioritate: 2 - O regiune cu orașe prietenoase cu mediu</w:t>
      </w:r>
    </w:p>
    <w:p w14:paraId="744A34D5" w14:textId="77777777" w:rsidR="00C01D2C" w:rsidRPr="00C01D2C" w:rsidRDefault="00C01D2C" w:rsidP="00C01D2C">
      <w:pPr>
        <w:spacing w:after="0" w:line="360" w:lineRule="auto"/>
        <w:jc w:val="both"/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</w:pPr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>Obiectiv specific: 2.1 - Promovarea eficienței energetice și reducerea emisiilor de gaze cu efect de seră</w:t>
      </w:r>
    </w:p>
    <w:p w14:paraId="5DD9D62C" w14:textId="77777777" w:rsidR="00C01D2C" w:rsidRPr="00C01D2C" w:rsidRDefault="00C01D2C" w:rsidP="00C01D2C">
      <w:pPr>
        <w:spacing w:after="0" w:line="360" w:lineRule="auto"/>
        <w:jc w:val="both"/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</w:pPr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>Operațiunea B -Promovarea eficienței energetice și reducerea emisiilor de gaze cu efect de seră prin investiții în locuințe multifamiliale, proiecte etapizate</w:t>
      </w:r>
    </w:p>
    <w:p w14:paraId="08FA4D80" w14:textId="77777777" w:rsidR="00C01D2C" w:rsidRPr="00C01D2C" w:rsidRDefault="00C01D2C" w:rsidP="00C01D2C">
      <w:pPr>
        <w:spacing w:after="0"/>
        <w:jc w:val="both"/>
        <w:rPr>
          <w:rFonts w:ascii="Trebuchet MS" w:eastAsia="Times New Roman" w:hAnsi="Trebuchet MS" w:cs="Times New Roman"/>
          <w:b/>
          <w:bCs/>
          <w:kern w:val="2"/>
          <w:sz w:val="20"/>
          <w:szCs w:val="20"/>
          <w:lang w:val="it-IT"/>
          <w14:ligatures w14:val="standardContextual"/>
        </w:rPr>
      </w:pPr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 xml:space="preserve">Apel de proiecte: </w:t>
      </w:r>
      <w:r w:rsidRPr="00C01D2C">
        <w:rPr>
          <w:rFonts w:ascii="Trebuchet MS" w:eastAsia="Times New Roman" w:hAnsi="Trebuchet MS" w:cs="Times New Roman"/>
          <w:b/>
          <w:bCs/>
          <w:kern w:val="2"/>
          <w:sz w:val="20"/>
          <w:szCs w:val="20"/>
          <w:lang w:val="it-IT"/>
          <w14:ligatures w14:val="standardContextual"/>
        </w:rPr>
        <w:t>PRSM/428/PRSM_P2/OP2/RSO2.1/PRSM_A37</w:t>
      </w:r>
    </w:p>
    <w:p w14:paraId="057BD01D" w14:textId="77777777" w:rsidR="00C01D2C" w:rsidRPr="00C01D2C" w:rsidRDefault="00C01D2C" w:rsidP="00C01D2C">
      <w:pPr>
        <w:spacing w:after="0" w:line="360" w:lineRule="auto"/>
        <w:jc w:val="both"/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</w:pPr>
      <w:r w:rsidRPr="00C01D2C">
        <w:rPr>
          <w:rFonts w:ascii="Trebuchet MS" w:hAnsi="Trebuchet MS"/>
          <w:kern w:val="2"/>
          <w:sz w:val="20"/>
          <w:szCs w:val="20"/>
          <w:lang w:val="it-IT"/>
          <w14:ligatures w14:val="standardContextual"/>
        </w:rPr>
        <w:t xml:space="preserve">Cod SMIS: </w:t>
      </w:r>
      <w:r w:rsidRPr="00C01D2C">
        <w:rPr>
          <w:rFonts w:ascii="Trebuchet MS" w:hAnsi="Trebuchet MS"/>
          <w:kern w:val="2"/>
          <w:sz w:val="20"/>
          <w:szCs w:val="20"/>
          <w:highlight w:val="lightGray"/>
          <w:lang w:val="it-IT"/>
          <w14:ligatures w14:val="standardContextual"/>
        </w:rPr>
        <w:t>&lt;se generează de sistemul informatic&gt;</w:t>
      </w:r>
    </w:p>
    <w:bookmarkEnd w:id="1"/>
    <w:p w14:paraId="08E7333C" w14:textId="1C6391EE" w:rsidR="00052EC7" w:rsidRPr="00C01D2C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  <w:r w:rsidRPr="00C01D2C"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99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C566E" w14:textId="77777777" w:rsidR="00A80608" w:rsidRDefault="00A80608">
      <w:pPr>
        <w:spacing w:after="0" w:line="240" w:lineRule="auto"/>
      </w:pPr>
      <w:r>
        <w:separator/>
      </w:r>
    </w:p>
  </w:endnote>
  <w:endnote w:type="continuationSeparator" w:id="0">
    <w:p w14:paraId="416A3AB7" w14:textId="77777777" w:rsidR="00A80608" w:rsidRDefault="00A80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E916" w14:textId="77777777" w:rsidR="00A80608" w:rsidRDefault="00A80608">
      <w:pPr>
        <w:spacing w:after="0" w:line="240" w:lineRule="auto"/>
      </w:pPr>
      <w:r>
        <w:separator/>
      </w:r>
    </w:p>
  </w:footnote>
  <w:footnote w:type="continuationSeparator" w:id="0">
    <w:p w14:paraId="0A9D73E5" w14:textId="77777777" w:rsidR="00A80608" w:rsidRDefault="00A80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1213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4D4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E1E2E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85756"/>
    <w:rsid w:val="00997474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0608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01D2C"/>
    <w:rsid w:val="00C322B6"/>
    <w:rsid w:val="00CB34C6"/>
    <w:rsid w:val="00CB3EA8"/>
    <w:rsid w:val="00D556C2"/>
    <w:rsid w:val="00D83B81"/>
    <w:rsid w:val="00D939CC"/>
    <w:rsid w:val="00DC0A9C"/>
    <w:rsid w:val="00DC2AAE"/>
    <w:rsid w:val="00DD5030"/>
    <w:rsid w:val="00DE4A49"/>
    <w:rsid w:val="00DE5235"/>
    <w:rsid w:val="00E0409E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53AA1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Alina Cusu</cp:lastModifiedBy>
  <cp:revision>7</cp:revision>
  <dcterms:created xsi:type="dcterms:W3CDTF">2023-05-18T07:27:00Z</dcterms:created>
  <dcterms:modified xsi:type="dcterms:W3CDTF">2024-06-12T11:17:00Z</dcterms:modified>
</cp:coreProperties>
</file>