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7347B" w14:textId="77777777" w:rsidR="00382BD9" w:rsidRPr="000149BD" w:rsidRDefault="00382BD9" w:rsidP="00BD39FC">
      <w:pPr>
        <w:rPr>
          <w:b/>
          <w:bCs/>
          <w:lang w:val="ro-RO"/>
        </w:rPr>
      </w:pPr>
    </w:p>
    <w:p w14:paraId="40DFD679" w14:textId="044E97AE" w:rsidR="00BD39FC" w:rsidRPr="000149BD" w:rsidRDefault="006F4185" w:rsidP="00BD39FC">
      <w:pPr>
        <w:jc w:val="center"/>
        <w:rPr>
          <w:b/>
          <w:bCs/>
          <w:lang w:val="ro-RO"/>
        </w:rPr>
      </w:pPr>
      <w:r w:rsidRPr="000149BD">
        <w:rPr>
          <w:b/>
          <w:bCs/>
          <w:lang w:val="ro-RO"/>
        </w:rPr>
        <w:t xml:space="preserve">Anexa </w:t>
      </w:r>
      <w:r w:rsidR="00D96BE4">
        <w:rPr>
          <w:b/>
          <w:bCs/>
          <w:lang w:val="ro-RO"/>
        </w:rPr>
        <w:t>1</w:t>
      </w:r>
      <w:r w:rsidRPr="000149BD">
        <w:rPr>
          <w:b/>
          <w:bCs/>
          <w:lang w:val="ro-RO"/>
        </w:rPr>
        <w:t xml:space="preserve"> </w:t>
      </w:r>
      <w:r w:rsidR="00AB566D" w:rsidRPr="000149BD">
        <w:rPr>
          <w:b/>
          <w:bCs/>
          <w:lang w:val="ro-RO"/>
        </w:rPr>
        <w:t xml:space="preserve">– Sinteza modificărilor </w:t>
      </w:r>
    </w:p>
    <w:tbl>
      <w:tblPr>
        <w:tblStyle w:val="TableGrid"/>
        <w:tblW w:w="14600" w:type="dxa"/>
        <w:tblInd w:w="-714" w:type="dxa"/>
        <w:tblLook w:val="04A0" w:firstRow="1" w:lastRow="0" w:firstColumn="1" w:lastColumn="0" w:noHBand="0" w:noVBand="1"/>
      </w:tblPr>
      <w:tblGrid>
        <w:gridCol w:w="2509"/>
        <w:gridCol w:w="6138"/>
        <w:gridCol w:w="5953"/>
      </w:tblGrid>
      <w:tr w:rsidR="00556E5E" w:rsidRPr="00482FFF" w14:paraId="03033058" w14:textId="77777777" w:rsidTr="00385D01">
        <w:tc>
          <w:tcPr>
            <w:tcW w:w="2509" w:type="dxa"/>
          </w:tcPr>
          <w:p w14:paraId="2FEE1914" w14:textId="16339C54" w:rsidR="00556E5E" w:rsidRPr="0031443A" w:rsidRDefault="00C357D1" w:rsidP="0056156C">
            <w:pPr>
              <w:jc w:val="center"/>
              <w:rPr>
                <w:rFonts w:cstheme="minorHAnsi"/>
                <w:b/>
                <w:bCs/>
                <w:lang w:val="ro-RO"/>
              </w:rPr>
            </w:pPr>
            <w:r w:rsidRPr="0031443A">
              <w:rPr>
                <w:rFonts w:cstheme="minorHAnsi"/>
                <w:b/>
                <w:bCs/>
                <w:lang w:val="ro-RO"/>
              </w:rPr>
              <w:t>Secțiune</w:t>
            </w:r>
            <w:r w:rsidR="00556E5E" w:rsidRPr="0031443A">
              <w:rPr>
                <w:rFonts w:cstheme="minorHAnsi"/>
                <w:b/>
                <w:bCs/>
                <w:lang w:val="ro-RO"/>
              </w:rPr>
              <w:t xml:space="preserve"> Ghidul Solicitantului</w:t>
            </w:r>
            <w:r w:rsidR="00A63CCF">
              <w:rPr>
                <w:rFonts w:cstheme="minorHAnsi"/>
                <w:b/>
                <w:bCs/>
                <w:lang w:val="ro-RO"/>
              </w:rPr>
              <w:t>/Anexe Ghid</w:t>
            </w:r>
          </w:p>
        </w:tc>
        <w:tc>
          <w:tcPr>
            <w:tcW w:w="6138" w:type="dxa"/>
          </w:tcPr>
          <w:p w14:paraId="5DF70549" w14:textId="3BD6F8F0" w:rsidR="00BD39FC" w:rsidRPr="0031443A" w:rsidRDefault="00556E5E" w:rsidP="0056156C">
            <w:pPr>
              <w:jc w:val="center"/>
              <w:rPr>
                <w:rFonts w:cstheme="minorHAnsi"/>
                <w:b/>
                <w:bCs/>
                <w:lang w:val="ro-RO"/>
              </w:rPr>
            </w:pPr>
            <w:r w:rsidRPr="0031443A">
              <w:rPr>
                <w:rFonts w:cstheme="minorHAnsi"/>
                <w:b/>
                <w:bCs/>
                <w:lang w:val="ro-RO"/>
              </w:rPr>
              <w:t>Text iniţial</w:t>
            </w:r>
          </w:p>
        </w:tc>
        <w:tc>
          <w:tcPr>
            <w:tcW w:w="5953" w:type="dxa"/>
          </w:tcPr>
          <w:p w14:paraId="3758CDCE" w14:textId="23804F6E" w:rsidR="00556E5E" w:rsidRDefault="00556E5E" w:rsidP="0056156C">
            <w:pPr>
              <w:jc w:val="center"/>
              <w:rPr>
                <w:rFonts w:cstheme="minorHAnsi"/>
                <w:b/>
                <w:bCs/>
                <w:lang w:val="ro-RO"/>
              </w:rPr>
            </w:pPr>
            <w:r w:rsidRPr="0031443A">
              <w:rPr>
                <w:rFonts w:cstheme="minorHAnsi"/>
                <w:b/>
                <w:bCs/>
                <w:lang w:val="ro-RO"/>
              </w:rPr>
              <w:t>Text adăugat</w:t>
            </w:r>
            <w:r w:rsidR="00D718D5">
              <w:rPr>
                <w:rFonts w:cstheme="minorHAnsi"/>
                <w:b/>
                <w:bCs/>
                <w:lang w:val="ro-RO"/>
              </w:rPr>
              <w:t>/modificat</w:t>
            </w:r>
          </w:p>
          <w:p w14:paraId="56C94905" w14:textId="41B4E9F0" w:rsidR="00482FFF" w:rsidRPr="00482FFF" w:rsidRDefault="00482FFF" w:rsidP="0056156C">
            <w:pPr>
              <w:jc w:val="center"/>
              <w:rPr>
                <w:rFonts w:cstheme="minorHAnsi"/>
                <w:b/>
                <w:bCs/>
                <w:lang w:val="it-IT"/>
              </w:rPr>
            </w:pPr>
          </w:p>
        </w:tc>
      </w:tr>
      <w:tr w:rsidR="00BD6E00" w:rsidRPr="00404E68" w14:paraId="549A8E9B" w14:textId="77777777" w:rsidTr="00385D01">
        <w:tc>
          <w:tcPr>
            <w:tcW w:w="2509" w:type="dxa"/>
          </w:tcPr>
          <w:p w14:paraId="16B674D7" w14:textId="7434DD5C" w:rsidR="00BD6E00" w:rsidRPr="0031443A" w:rsidRDefault="00BD6E00" w:rsidP="00BD6E00">
            <w:pPr>
              <w:rPr>
                <w:rFonts w:cstheme="minorHAnsi"/>
                <w:lang w:val="ro-RO"/>
              </w:rPr>
            </w:pPr>
            <w:r w:rsidRPr="0031443A">
              <w:rPr>
                <w:rFonts w:cstheme="minorHAnsi"/>
                <w:lang w:val="ro-RO"/>
              </w:rPr>
              <w:t xml:space="preserve">Anexa </w:t>
            </w:r>
            <w:r>
              <w:rPr>
                <w:rFonts w:cstheme="minorHAnsi"/>
                <w:lang w:val="ro-RO"/>
              </w:rPr>
              <w:t>19</w:t>
            </w:r>
            <w:r w:rsidRPr="0031443A">
              <w:rPr>
                <w:rFonts w:cstheme="minorHAnsi"/>
                <w:lang w:val="ro-RO"/>
              </w:rPr>
              <w:t>_</w:t>
            </w:r>
            <w:r>
              <w:rPr>
                <w:rFonts w:cstheme="minorHAnsi"/>
                <w:lang w:val="ro-RO"/>
              </w:rPr>
              <w:t>Model orientativ contract de finanțare</w:t>
            </w:r>
          </w:p>
        </w:tc>
        <w:tc>
          <w:tcPr>
            <w:tcW w:w="6138" w:type="dxa"/>
          </w:tcPr>
          <w:p w14:paraId="6DF5893F" w14:textId="77777777" w:rsidR="00BD6E00" w:rsidRPr="00482FFF" w:rsidRDefault="00BD6E00" w:rsidP="00BD6E00">
            <w:pPr>
              <w:spacing w:before="120" w:after="120"/>
              <w:ind w:right="42"/>
              <w:jc w:val="both"/>
              <w:rPr>
                <w:rFonts w:cstheme="minorHAnsi"/>
                <w:lang w:val="ro-RO"/>
              </w:rPr>
            </w:pPr>
            <w:r>
              <w:rPr>
                <w:rFonts w:cstheme="minorHAnsi"/>
                <w:b/>
                <w:bCs/>
                <w:lang w:val="ro-RO"/>
              </w:rPr>
              <w:t>„</w:t>
            </w:r>
            <w:r w:rsidRPr="00482FFF">
              <w:rPr>
                <w:rFonts w:cstheme="minorHAnsi"/>
                <w:b/>
                <w:bCs/>
                <w:lang w:val="ro-RO"/>
              </w:rPr>
              <w:t xml:space="preserve">ART. 25 – Clauze rezolutorii și suspensive </w:t>
            </w:r>
          </w:p>
          <w:p w14:paraId="7F9F17BD" w14:textId="77777777" w:rsidR="00BD6E00" w:rsidRDefault="00BD6E00" w:rsidP="00BD6E00">
            <w:pPr>
              <w:jc w:val="both"/>
              <w:rPr>
                <w:rFonts w:cstheme="minorHAnsi"/>
                <w:lang w:val="ro-RO"/>
              </w:rPr>
            </w:pPr>
            <w:r w:rsidRPr="00482FFF">
              <w:rPr>
                <w:rFonts w:cstheme="minorHAnsi"/>
                <w:lang w:val="ro-RO"/>
              </w:rPr>
              <w:t>(1) Prezentului contract de finanțare nu i se aplică clauza rezolutorie prevăzută la art. 6 alin. (11) din Ordonanța de urgență a Guvernului nr. 23/2023</w:t>
            </w:r>
            <w:r w:rsidRPr="00BA0CC8">
              <w:rPr>
                <w:rFonts w:cstheme="minorHAnsi"/>
                <w:lang w:val="ro-RO"/>
              </w:rPr>
              <w:t>.</w:t>
            </w:r>
          </w:p>
          <w:p w14:paraId="70AD0B02" w14:textId="155EB68F" w:rsidR="00BD6E00" w:rsidRPr="00BA0CC8" w:rsidRDefault="00BD6E00" w:rsidP="00BD6E00">
            <w:pPr>
              <w:spacing w:before="120" w:after="120"/>
              <w:ind w:right="42"/>
              <w:jc w:val="both"/>
              <w:rPr>
                <w:rFonts w:cstheme="minorHAnsi"/>
                <w:lang w:val="ro-RO"/>
              </w:rPr>
            </w:pPr>
            <w:r>
              <w:rPr>
                <w:rFonts w:cstheme="minorHAnsi"/>
                <w:lang w:val="ro-RO"/>
              </w:rPr>
              <w:t>(2)</w:t>
            </w:r>
            <w:r w:rsidRPr="00601A40">
              <w:rPr>
                <w:rFonts w:cstheme="minorHAnsi"/>
                <w:lang w:val="ro-RO"/>
              </w:rPr>
              <w:t xml:space="preserve"> În cazul proiectelor ale căror contracte de finanțare urmează a fi semnate în anul 2025, pentru care situațiile financiare pentru anul 2024 nu au fost întocmite până la depunerea actelor aferente etapei de contractare (pentru care au fost transmise declarația unică și declarația pe propria răspundere a solicitantului cu privire la respectarea condițiilor de eligibilitate, conform prevederilor ghidului solicitantului), situațiile financiare pentru anul 2024 și Declarația privind încadrarea în categoria IMM aferentă anului 2024, se vor prezenta de către Beneficiar odată cu prima cerere de rambursare, dar nu mai târziu de 30 iunie 2025, împreună cu recipisa ANAF (confirmarea depunerii corecte a situațiilor financiare), urmând ca AM PRSM să verifice și să confirme, în baza acestor documente, îndeplinirea condițiilor de eligibilitate pentru anul 2024 cuprinse în grila de contractare, iar în caz contrar contractul de finanțare va fi reziliat și finanțarea nerambursabilă acordată va fi recuperată. Aceste date se completează și se verifică inclusiv pentru întreprinderile legate/partenere</w:t>
            </w:r>
            <w:r w:rsidRPr="00BA0CC8">
              <w:rPr>
                <w:rFonts w:cstheme="minorHAnsi"/>
                <w:lang w:val="ro-RO"/>
              </w:rPr>
              <w:t>”</w:t>
            </w:r>
            <w:r>
              <w:rPr>
                <w:rFonts w:cstheme="minorHAnsi"/>
                <w:lang w:val="ro-RO"/>
              </w:rPr>
              <w:t>.</w:t>
            </w:r>
          </w:p>
        </w:tc>
        <w:tc>
          <w:tcPr>
            <w:tcW w:w="5953" w:type="dxa"/>
          </w:tcPr>
          <w:p w14:paraId="762823FB" w14:textId="77777777" w:rsidR="00BD6E00" w:rsidRPr="00482FFF" w:rsidRDefault="00BD6E00" w:rsidP="00BD6E00">
            <w:pPr>
              <w:spacing w:before="120" w:after="120"/>
              <w:ind w:right="42"/>
              <w:jc w:val="both"/>
              <w:rPr>
                <w:rFonts w:cstheme="minorHAnsi"/>
                <w:lang w:val="ro-RO"/>
              </w:rPr>
            </w:pPr>
            <w:r>
              <w:rPr>
                <w:rFonts w:cstheme="minorHAnsi"/>
                <w:b/>
                <w:bCs/>
                <w:lang w:val="ro-RO"/>
              </w:rPr>
              <w:t>„</w:t>
            </w:r>
            <w:r w:rsidRPr="00482FFF">
              <w:rPr>
                <w:rFonts w:cstheme="minorHAnsi"/>
                <w:b/>
                <w:bCs/>
                <w:lang w:val="ro-RO"/>
              </w:rPr>
              <w:t xml:space="preserve">ART. 25 – Clauze rezolutorii și suspensive </w:t>
            </w:r>
          </w:p>
          <w:p w14:paraId="766B068C" w14:textId="77777777" w:rsidR="00BD6E00" w:rsidRDefault="00BD6E00" w:rsidP="00BD6E00">
            <w:pPr>
              <w:jc w:val="both"/>
              <w:rPr>
                <w:rFonts w:cstheme="minorHAnsi"/>
                <w:lang w:val="ro-RO"/>
              </w:rPr>
            </w:pPr>
            <w:r w:rsidRPr="00482FFF">
              <w:rPr>
                <w:rFonts w:cstheme="minorHAnsi"/>
                <w:lang w:val="ro-RO"/>
              </w:rPr>
              <w:t>(1) Prezentului contract de finanțare nu i se aplică clauza rezolutorie prevăzută la art. 6 alin. (11) din Ordonanța de urgență a Guvernului nr. 23/2023</w:t>
            </w:r>
            <w:r w:rsidRPr="00BA0CC8">
              <w:rPr>
                <w:rFonts w:cstheme="minorHAnsi"/>
                <w:lang w:val="ro-RO"/>
              </w:rPr>
              <w:t>.</w:t>
            </w:r>
          </w:p>
          <w:p w14:paraId="04551396" w14:textId="77777777" w:rsidR="00BD6E00" w:rsidRDefault="00BD6E00" w:rsidP="00BD6E00">
            <w:pPr>
              <w:jc w:val="both"/>
              <w:rPr>
                <w:rFonts w:cstheme="minorHAnsi"/>
                <w:lang w:val="ro-RO"/>
              </w:rPr>
            </w:pPr>
            <w:r>
              <w:rPr>
                <w:rFonts w:cstheme="minorHAnsi"/>
                <w:lang w:val="ro-RO"/>
              </w:rPr>
              <w:t>(2)</w:t>
            </w:r>
            <w:r w:rsidRPr="00601A40">
              <w:rPr>
                <w:rFonts w:cstheme="minorHAnsi"/>
                <w:lang w:val="ro-RO"/>
              </w:rPr>
              <w:t xml:space="preserve"> </w:t>
            </w:r>
            <w:bookmarkStart w:id="0" w:name="_Hlk190679060"/>
            <w:r w:rsidRPr="00601A40">
              <w:rPr>
                <w:rFonts w:cstheme="minorHAnsi"/>
                <w:lang w:val="ro-RO"/>
              </w:rPr>
              <w:t>În cazul proiectelor ale căror contracte de finanțare urmează a fi semnate în anul 2025, pentru care situațiile financiare pentru anul 2024 nu au fost întocmite până la depunerea actelor aferente etapei de contractare (pentru care au fost transmise declarația unică și declarația pe propria răspundere a solicitantului cu privire la respectarea condițiilor de eligibilitate, conform prevederilor ghidului solicitantului), situațiile financiare pentru anul 2024 și Declarația privind încadrarea în categoria IMM aferentă anului 2024, se vor prezenta de către Beneficiar odată cu prima cerere de rambursare, dar nu mai târziu de 30 iunie 2025, împreună cu recipisa ANAF (confirmarea depunerii corecte a situațiilor financiare), urmând ca AM PRSM să verifice și să confirme, în baza acestor documente, îndeplinirea condițiilor de eligibilitate pentru anul 2024 cuprinse în grila de contractare, iar în caz contrar contractul de finanțare va fi reziliat și finanțarea nerambursabilă acordată va fi recuperată. Aceste date se completează și se verifică inclusiv pentru întreprinderile legate/partenere</w:t>
            </w:r>
            <w:bookmarkEnd w:id="0"/>
          </w:p>
          <w:p w14:paraId="3236DE29" w14:textId="708AC8A4" w:rsidR="00CB6D5F" w:rsidRPr="00CE6860" w:rsidRDefault="00895A6B" w:rsidP="00BD6E00">
            <w:pPr>
              <w:jc w:val="both"/>
              <w:rPr>
                <w:lang w:val="it-IT"/>
              </w:rPr>
            </w:pPr>
            <w:r w:rsidRPr="00CE6860">
              <w:rPr>
                <w:lang w:val="it-IT"/>
              </w:rPr>
              <w:t xml:space="preserve">(3) </w:t>
            </w:r>
            <w:r w:rsidR="00CB6D5F" w:rsidRPr="00CE6860">
              <w:rPr>
                <w:lang w:val="it-IT"/>
              </w:rPr>
              <w:t xml:space="preserve">Prezentul contract se </w:t>
            </w:r>
            <w:r w:rsidR="00462116" w:rsidRPr="00CE6860">
              <w:rPr>
                <w:lang w:val="it-IT"/>
              </w:rPr>
              <w:t>încheie</w:t>
            </w:r>
            <w:r w:rsidR="00CB6D5F" w:rsidRPr="00CE6860">
              <w:rPr>
                <w:lang w:val="it-IT"/>
              </w:rPr>
              <w:t xml:space="preserve"> având emisă Decizia etapei de încadrare în procedura de evaluare a impactului asupra mediului,</w:t>
            </w:r>
            <w:r w:rsidR="00590FC5" w:rsidRPr="00CE6860">
              <w:rPr>
                <w:lang w:val="it-IT"/>
              </w:rPr>
              <w:t xml:space="preserve"> </w:t>
            </w:r>
            <w:r w:rsidR="00590FC5" w:rsidRPr="00CE6860">
              <w:rPr>
                <w:lang w:val="it-IT"/>
              </w:rPr>
              <w:lastRenderedPageBreak/>
              <w:t>în conformitate cu prevederile Legii nr. 292/2018 privind evaluarea impactului anumitor proiecte publice și private asupra mediului.</w:t>
            </w:r>
          </w:p>
          <w:p w14:paraId="291E8106" w14:textId="77777777" w:rsidR="00462116" w:rsidRPr="00CE6860" w:rsidRDefault="00462116" w:rsidP="00BD6E00">
            <w:pPr>
              <w:jc w:val="both"/>
              <w:rPr>
                <w:rFonts w:cstheme="minorHAnsi"/>
                <w:lang w:val="ro-RO"/>
              </w:rPr>
            </w:pPr>
            <w:r w:rsidRPr="00CE6860">
              <w:rPr>
                <w:rFonts w:cstheme="minorHAnsi"/>
                <w:lang w:val="it-IT"/>
              </w:rPr>
              <w:t>Pentru acele proiecte pentru care este necesară declanșarea procedurii de evaluare a impactului asupra mediului, d</w:t>
            </w:r>
            <w:r w:rsidR="00590FC5" w:rsidRPr="00CE6860">
              <w:rPr>
                <w:rFonts w:cstheme="minorHAnsi"/>
                <w:lang w:val="it-IT"/>
              </w:rPr>
              <w:t>ocumentul final</w:t>
            </w:r>
            <w:r w:rsidR="003D7D98" w:rsidRPr="00CE6860">
              <w:rPr>
                <w:rFonts w:cstheme="minorHAnsi"/>
                <w:lang w:val="it-IT"/>
              </w:rPr>
              <w:t xml:space="preserve"> privind procedura de evaluare a impactului asupra mediului/acordul de mediu/ </w:t>
            </w:r>
            <w:r w:rsidR="00895A6B" w:rsidRPr="00CE6860">
              <w:rPr>
                <w:rFonts w:cstheme="minorHAnsi"/>
                <w:lang w:val="it-IT"/>
              </w:rPr>
              <w:t>Clasarea notificării</w:t>
            </w:r>
            <w:r w:rsidRPr="00CE6860">
              <w:rPr>
                <w:rFonts w:cstheme="minorHAnsi"/>
                <w:lang w:val="it-IT"/>
              </w:rPr>
              <w:t>, după caz,</w:t>
            </w:r>
            <w:r w:rsidR="00895A6B" w:rsidRPr="00CE6860">
              <w:rPr>
                <w:rFonts w:cstheme="minorHAnsi"/>
                <w:lang w:val="ro-RO"/>
              </w:rPr>
              <w:t xml:space="preserve"> se v</w:t>
            </w:r>
            <w:r w:rsidR="00895A6B" w:rsidRPr="00CE6860">
              <w:rPr>
                <w:rFonts w:cstheme="minorHAnsi"/>
                <w:lang w:val="it-IT"/>
              </w:rPr>
              <w:t>a</w:t>
            </w:r>
            <w:r w:rsidR="00895A6B" w:rsidRPr="00CE6860">
              <w:rPr>
                <w:rFonts w:cstheme="minorHAnsi"/>
                <w:lang w:val="ro-RO"/>
              </w:rPr>
              <w:t xml:space="preserve"> prezenta de către Beneficiar odată cu </w:t>
            </w:r>
            <w:r w:rsidR="003D7D98" w:rsidRPr="00CE6860">
              <w:rPr>
                <w:rFonts w:cstheme="minorHAnsi"/>
                <w:lang w:val="ro-RO"/>
              </w:rPr>
              <w:t>Autoriza</w:t>
            </w:r>
            <w:r w:rsidRPr="00CE6860">
              <w:rPr>
                <w:rFonts w:cstheme="minorHAnsi"/>
                <w:lang w:val="ro-RO"/>
              </w:rPr>
              <w:t xml:space="preserve">ția de construire la </w:t>
            </w:r>
            <w:r w:rsidR="00895A6B" w:rsidRPr="00CE6860">
              <w:rPr>
                <w:rFonts w:cstheme="minorHAnsi"/>
                <w:lang w:val="ro-RO"/>
              </w:rPr>
              <w:t>prima cerere de rambursare, urmând ca AM PRSM să verifice și să confirme, în baza acestor documente, îndeplinirea condițiilor de eligibilitate cuprinse în grila de contractare</w:t>
            </w:r>
            <w:r w:rsidRPr="00CE6860">
              <w:rPr>
                <w:rFonts w:cstheme="minorHAnsi"/>
                <w:lang w:val="ro-RO"/>
              </w:rPr>
              <w:t xml:space="preserve"> referitoare la evaluarea impactului asupra mediului sau al unei proceduri de verificare. </w:t>
            </w:r>
          </w:p>
          <w:p w14:paraId="398C40B1" w14:textId="586E020B" w:rsidR="00BD6E00" w:rsidRPr="00404E68" w:rsidRDefault="00462116" w:rsidP="00BD6E00">
            <w:pPr>
              <w:jc w:val="both"/>
              <w:rPr>
                <w:rFonts w:cstheme="minorHAnsi"/>
                <w:lang w:val="it-IT"/>
              </w:rPr>
            </w:pPr>
            <w:r w:rsidRPr="00CE6860">
              <w:rPr>
                <w:rFonts w:cstheme="minorHAnsi"/>
                <w:lang w:val="ro-RO"/>
              </w:rPr>
              <w:t>Î</w:t>
            </w:r>
            <w:r w:rsidR="00895A6B" w:rsidRPr="00CE6860">
              <w:rPr>
                <w:rFonts w:cstheme="minorHAnsi"/>
                <w:lang w:val="ro-RO"/>
              </w:rPr>
              <w:t>n caz contrar</w:t>
            </w:r>
            <w:r w:rsidRPr="00CE6860">
              <w:rPr>
                <w:rFonts w:cstheme="minorHAnsi"/>
                <w:lang w:val="ro-RO"/>
              </w:rPr>
              <w:t xml:space="preserve"> celor menționate la acest punct, </w:t>
            </w:r>
            <w:r w:rsidR="00895A6B" w:rsidRPr="00CE6860">
              <w:rPr>
                <w:rFonts w:cstheme="minorHAnsi"/>
                <w:lang w:val="ro-RO"/>
              </w:rPr>
              <w:t>contractul de finanțare va fi reziliat și finanțarea nerambursabilă acordată va fi recuperată</w:t>
            </w:r>
            <w:r w:rsidR="00BD6E00" w:rsidRPr="00CE6860">
              <w:rPr>
                <w:rFonts w:cstheme="minorHAnsi"/>
                <w:lang w:val="ro-RO"/>
              </w:rPr>
              <w:t>”.</w:t>
            </w:r>
          </w:p>
        </w:tc>
      </w:tr>
    </w:tbl>
    <w:p w14:paraId="67B3951A" w14:textId="77777777" w:rsidR="00B019FF" w:rsidRPr="00845FE3" w:rsidRDefault="00B019FF" w:rsidP="0035101C">
      <w:pPr>
        <w:tabs>
          <w:tab w:val="left" w:pos="1968"/>
        </w:tabs>
        <w:rPr>
          <w:rFonts w:ascii="Trebuchet MS" w:hAnsi="Trebuchet MS"/>
          <w:lang w:val="ro-RO"/>
        </w:rPr>
      </w:pPr>
    </w:p>
    <w:sectPr w:rsidR="00B019FF" w:rsidRPr="00845FE3" w:rsidSect="00AC4B8A">
      <w:headerReference w:type="default" r:id="rId8"/>
      <w:footerReference w:type="default" r:id="rId9"/>
      <w:pgSz w:w="15840" w:h="12240" w:orient="landscape"/>
      <w:pgMar w:top="1878" w:right="567" w:bottom="1702"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0A1A0" w14:textId="77777777" w:rsidR="00063E21" w:rsidRDefault="00063E21" w:rsidP="0035101C">
      <w:pPr>
        <w:spacing w:after="0" w:line="240" w:lineRule="auto"/>
      </w:pPr>
      <w:r>
        <w:separator/>
      </w:r>
    </w:p>
  </w:endnote>
  <w:endnote w:type="continuationSeparator" w:id="0">
    <w:p w14:paraId="77609C04" w14:textId="77777777" w:rsidR="00063E21" w:rsidRDefault="00063E21" w:rsidP="00351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231">
    <w:altName w:val="Times New Roman"/>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9376B" w14:textId="7BB87ABF" w:rsidR="0035101C" w:rsidRDefault="0035101C">
    <w:pPr>
      <w:pStyle w:val="Footer"/>
    </w:pPr>
    <w:r w:rsidRPr="0097290B">
      <w:rPr>
        <w:rFonts w:ascii="Calibri" w:eastAsia="Calibri" w:hAnsi="Calibri"/>
        <w:noProof/>
      </w:rPr>
      <w:drawing>
        <wp:inline distT="0" distB="0" distL="0" distR="0" wp14:anchorId="6F49E333" wp14:editId="2351FC54">
          <wp:extent cx="8671302" cy="348615"/>
          <wp:effectExtent l="0" t="0" r="0" b="0"/>
          <wp:docPr id="1684673774" name="Imagine 1324550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71302" cy="34861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CBB9D" w14:textId="77777777" w:rsidR="00063E21" w:rsidRDefault="00063E21" w:rsidP="0035101C">
      <w:pPr>
        <w:spacing w:after="0" w:line="240" w:lineRule="auto"/>
      </w:pPr>
      <w:r>
        <w:separator/>
      </w:r>
    </w:p>
  </w:footnote>
  <w:footnote w:type="continuationSeparator" w:id="0">
    <w:p w14:paraId="15FBC637" w14:textId="77777777" w:rsidR="00063E21" w:rsidRDefault="00063E21" w:rsidP="00351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C9CC0" w14:textId="426C503F" w:rsidR="0035101C" w:rsidRDefault="0035101C">
    <w:pPr>
      <w:pStyle w:val="Header"/>
    </w:pPr>
    <w:r>
      <w:rPr>
        <w:noProof/>
      </w:rPr>
      <w:drawing>
        <wp:inline distT="0" distB="0" distL="0" distR="0" wp14:anchorId="504F5614" wp14:editId="0EA62B44">
          <wp:extent cx="5723890" cy="542925"/>
          <wp:effectExtent l="0" t="0" r="0" b="9525"/>
          <wp:docPr id="1940800505" name="Imagine 1548337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3890" cy="5429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FCB81E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06527C9"/>
    <w:multiLevelType w:val="hybridMultilevel"/>
    <w:tmpl w:val="6C8E0682"/>
    <w:lvl w:ilvl="0" w:tplc="0409000D">
      <w:start w:val="1"/>
      <w:numFmt w:val="bullet"/>
      <w:lvlText w:val=""/>
      <w:lvlJc w:val="left"/>
      <w:pPr>
        <w:ind w:left="753" w:hanging="360"/>
      </w:pPr>
      <w:rPr>
        <w:rFonts w:ascii="Wingdings" w:hAnsi="Wingdings"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 w15:restartNumberingAfterBreak="0">
    <w:nsid w:val="20D6648D"/>
    <w:multiLevelType w:val="hybridMultilevel"/>
    <w:tmpl w:val="B4B88EB6"/>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AEF5C36"/>
    <w:multiLevelType w:val="hybridMultilevel"/>
    <w:tmpl w:val="8ED405F8"/>
    <w:lvl w:ilvl="0" w:tplc="84842AF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7B1352"/>
    <w:multiLevelType w:val="hybridMultilevel"/>
    <w:tmpl w:val="B4B88EB6"/>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32786E3A"/>
    <w:multiLevelType w:val="hybridMultilevel"/>
    <w:tmpl w:val="D8F24D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020976"/>
    <w:multiLevelType w:val="hybridMultilevel"/>
    <w:tmpl w:val="293687B6"/>
    <w:lvl w:ilvl="0" w:tplc="28500318">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472ADD"/>
    <w:multiLevelType w:val="hybridMultilevel"/>
    <w:tmpl w:val="EFA0612C"/>
    <w:lvl w:ilvl="0" w:tplc="C9F2CD84">
      <w:numFmt w:val="bullet"/>
      <w:lvlText w:val="-"/>
      <w:lvlJc w:val="left"/>
      <w:pPr>
        <w:ind w:left="720" w:hanging="360"/>
      </w:pPr>
      <w:rPr>
        <w:rFonts w:ascii="Trebuchet MS" w:eastAsia="Times New Roman"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505E0D"/>
    <w:multiLevelType w:val="hybridMultilevel"/>
    <w:tmpl w:val="8E086F5E"/>
    <w:lvl w:ilvl="0" w:tplc="2CC27840">
      <w:start w:val="1"/>
      <w:numFmt w:val="bullet"/>
      <w:lvlText w:val="-"/>
      <w:lvlJc w:val="left"/>
      <w:pPr>
        <w:ind w:left="1932" w:hanging="360"/>
      </w:pPr>
      <w:rPr>
        <w:rFonts w:ascii="Trebuchet MS" w:eastAsia="Times New Roman" w:hAnsi="Trebuchet MS" w:cs="Times New Roman" w:hint="default"/>
      </w:rPr>
    </w:lvl>
    <w:lvl w:ilvl="1" w:tplc="04180003" w:tentative="1">
      <w:start w:val="1"/>
      <w:numFmt w:val="bullet"/>
      <w:lvlText w:val="o"/>
      <w:lvlJc w:val="left"/>
      <w:pPr>
        <w:ind w:left="2652" w:hanging="360"/>
      </w:pPr>
      <w:rPr>
        <w:rFonts w:ascii="font231" w:hAnsi="font231" w:cs="font231"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font231" w:hAnsi="font231" w:cs="font231"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font231" w:hAnsi="font231" w:cs="font231" w:hint="default"/>
      </w:rPr>
    </w:lvl>
    <w:lvl w:ilvl="8" w:tplc="04180005" w:tentative="1">
      <w:start w:val="1"/>
      <w:numFmt w:val="bullet"/>
      <w:lvlText w:val=""/>
      <w:lvlJc w:val="left"/>
      <w:pPr>
        <w:ind w:left="7692" w:hanging="360"/>
      </w:pPr>
      <w:rPr>
        <w:rFonts w:ascii="Wingdings" w:hAnsi="Wingdings" w:hint="default"/>
      </w:rPr>
    </w:lvl>
  </w:abstractNum>
  <w:abstractNum w:abstractNumId="9"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67D40A9C"/>
    <w:multiLevelType w:val="hybridMultilevel"/>
    <w:tmpl w:val="870E91CC"/>
    <w:lvl w:ilvl="0" w:tplc="49F0DBB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F51812"/>
    <w:multiLevelType w:val="hybridMultilevel"/>
    <w:tmpl w:val="352089FA"/>
    <w:lvl w:ilvl="0" w:tplc="A302FAA6">
      <w:start w:val="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DB499D"/>
    <w:multiLevelType w:val="hybridMultilevel"/>
    <w:tmpl w:val="922AEDB4"/>
    <w:lvl w:ilvl="0" w:tplc="963E6F1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F56A6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9DF244C"/>
    <w:multiLevelType w:val="hybridMultilevel"/>
    <w:tmpl w:val="332A2E0E"/>
    <w:lvl w:ilvl="0" w:tplc="C484A868">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9A317A"/>
    <w:multiLevelType w:val="hybridMultilevel"/>
    <w:tmpl w:val="7F1820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9037607">
    <w:abstractNumId w:val="8"/>
  </w:num>
  <w:num w:numId="2" w16cid:durableId="1038701254">
    <w:abstractNumId w:val="5"/>
  </w:num>
  <w:num w:numId="3" w16cid:durableId="562721876">
    <w:abstractNumId w:val="16"/>
  </w:num>
  <w:num w:numId="4" w16cid:durableId="293756445">
    <w:abstractNumId w:val="0"/>
  </w:num>
  <w:num w:numId="5" w16cid:durableId="1485925642">
    <w:abstractNumId w:val="13"/>
  </w:num>
  <w:num w:numId="6" w16cid:durableId="1474324949">
    <w:abstractNumId w:val="9"/>
  </w:num>
  <w:num w:numId="7" w16cid:durableId="6804014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2265160">
    <w:abstractNumId w:val="14"/>
  </w:num>
  <w:num w:numId="9" w16cid:durableId="1335111932">
    <w:abstractNumId w:val="2"/>
  </w:num>
  <w:num w:numId="10" w16cid:durableId="1574971109">
    <w:abstractNumId w:val="4"/>
  </w:num>
  <w:num w:numId="11" w16cid:durableId="1947228914">
    <w:abstractNumId w:val="12"/>
  </w:num>
  <w:num w:numId="12" w16cid:durableId="1963153225">
    <w:abstractNumId w:val="7"/>
  </w:num>
  <w:num w:numId="13" w16cid:durableId="1890064914">
    <w:abstractNumId w:val="15"/>
  </w:num>
  <w:num w:numId="14" w16cid:durableId="1654412885">
    <w:abstractNumId w:val="11"/>
  </w:num>
  <w:num w:numId="15" w16cid:durableId="1795631289">
    <w:abstractNumId w:val="3"/>
  </w:num>
  <w:num w:numId="16" w16cid:durableId="1861357852">
    <w:abstractNumId w:val="10"/>
  </w:num>
  <w:num w:numId="17" w16cid:durableId="1590500634">
    <w:abstractNumId w:val="6"/>
  </w:num>
  <w:num w:numId="18" w16cid:durableId="20487917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01C"/>
    <w:rsid w:val="000149BD"/>
    <w:rsid w:val="00015B59"/>
    <w:rsid w:val="00024251"/>
    <w:rsid w:val="00063E21"/>
    <w:rsid w:val="000825E8"/>
    <w:rsid w:val="000A5932"/>
    <w:rsid w:val="000C2516"/>
    <w:rsid w:val="000D76AA"/>
    <w:rsid w:val="000D7765"/>
    <w:rsid w:val="000E60B5"/>
    <w:rsid w:val="000F620D"/>
    <w:rsid w:val="001022CB"/>
    <w:rsid w:val="0011030A"/>
    <w:rsid w:val="001169E3"/>
    <w:rsid w:val="00122CD7"/>
    <w:rsid w:val="00133024"/>
    <w:rsid w:val="001342BB"/>
    <w:rsid w:val="0014642B"/>
    <w:rsid w:val="00154016"/>
    <w:rsid w:val="001652C0"/>
    <w:rsid w:val="00167203"/>
    <w:rsid w:val="00172625"/>
    <w:rsid w:val="00192D16"/>
    <w:rsid w:val="001A7553"/>
    <w:rsid w:val="001D1283"/>
    <w:rsid w:val="001D13FA"/>
    <w:rsid w:val="001D599D"/>
    <w:rsid w:val="001E1FC3"/>
    <w:rsid w:val="001E4A9D"/>
    <w:rsid w:val="001E59C1"/>
    <w:rsid w:val="001E74E3"/>
    <w:rsid w:val="001F507E"/>
    <w:rsid w:val="00215F0B"/>
    <w:rsid w:val="00223431"/>
    <w:rsid w:val="00235490"/>
    <w:rsid w:val="00242303"/>
    <w:rsid w:val="00267761"/>
    <w:rsid w:val="002736AB"/>
    <w:rsid w:val="00276A2A"/>
    <w:rsid w:val="0027793C"/>
    <w:rsid w:val="00285C26"/>
    <w:rsid w:val="002974E8"/>
    <w:rsid w:val="002D1012"/>
    <w:rsid w:val="002D20CD"/>
    <w:rsid w:val="002E6BF0"/>
    <w:rsid w:val="002F103C"/>
    <w:rsid w:val="0031088B"/>
    <w:rsid w:val="0031443A"/>
    <w:rsid w:val="00342424"/>
    <w:rsid w:val="0035101C"/>
    <w:rsid w:val="0036421D"/>
    <w:rsid w:val="00366EC9"/>
    <w:rsid w:val="00374B1B"/>
    <w:rsid w:val="00382BD9"/>
    <w:rsid w:val="00385D01"/>
    <w:rsid w:val="00387500"/>
    <w:rsid w:val="0039173F"/>
    <w:rsid w:val="00394B13"/>
    <w:rsid w:val="003C2857"/>
    <w:rsid w:val="003C6684"/>
    <w:rsid w:val="003C69F5"/>
    <w:rsid w:val="003D7D98"/>
    <w:rsid w:val="0040045D"/>
    <w:rsid w:val="004040B7"/>
    <w:rsid w:val="00404E68"/>
    <w:rsid w:val="00420EEB"/>
    <w:rsid w:val="00422895"/>
    <w:rsid w:val="00452855"/>
    <w:rsid w:val="00462116"/>
    <w:rsid w:val="00472889"/>
    <w:rsid w:val="00477A4D"/>
    <w:rsid w:val="0048022C"/>
    <w:rsid w:val="00481654"/>
    <w:rsid w:val="00482FFF"/>
    <w:rsid w:val="00490149"/>
    <w:rsid w:val="004B7B49"/>
    <w:rsid w:val="004C0699"/>
    <w:rsid w:val="004C1040"/>
    <w:rsid w:val="004D28DE"/>
    <w:rsid w:val="004E3511"/>
    <w:rsid w:val="004E5665"/>
    <w:rsid w:val="004F0FAE"/>
    <w:rsid w:val="00522911"/>
    <w:rsid w:val="00535E8F"/>
    <w:rsid w:val="00551A3E"/>
    <w:rsid w:val="00556E5E"/>
    <w:rsid w:val="0056156C"/>
    <w:rsid w:val="0056460D"/>
    <w:rsid w:val="005732BA"/>
    <w:rsid w:val="0058697E"/>
    <w:rsid w:val="00590FC5"/>
    <w:rsid w:val="005A129E"/>
    <w:rsid w:val="005A18C0"/>
    <w:rsid w:val="005A1B78"/>
    <w:rsid w:val="005E1991"/>
    <w:rsid w:val="005E5401"/>
    <w:rsid w:val="005E623F"/>
    <w:rsid w:val="00601A40"/>
    <w:rsid w:val="0061722D"/>
    <w:rsid w:val="00623C5F"/>
    <w:rsid w:val="00672425"/>
    <w:rsid w:val="00673095"/>
    <w:rsid w:val="00683F23"/>
    <w:rsid w:val="006952E9"/>
    <w:rsid w:val="00695ED6"/>
    <w:rsid w:val="00697C59"/>
    <w:rsid w:val="006A2FF3"/>
    <w:rsid w:val="006A7E62"/>
    <w:rsid w:val="006B3599"/>
    <w:rsid w:val="006D3786"/>
    <w:rsid w:val="006D6833"/>
    <w:rsid w:val="006E012E"/>
    <w:rsid w:val="006E75AB"/>
    <w:rsid w:val="006F0FA5"/>
    <w:rsid w:val="006F4185"/>
    <w:rsid w:val="0070280F"/>
    <w:rsid w:val="00715567"/>
    <w:rsid w:val="00716D14"/>
    <w:rsid w:val="00762579"/>
    <w:rsid w:val="007C5D2D"/>
    <w:rsid w:val="007E13C9"/>
    <w:rsid w:val="007F114F"/>
    <w:rsid w:val="007F35C2"/>
    <w:rsid w:val="00800C4F"/>
    <w:rsid w:val="008060D9"/>
    <w:rsid w:val="0083533A"/>
    <w:rsid w:val="008374F0"/>
    <w:rsid w:val="00845C4C"/>
    <w:rsid w:val="00845FE3"/>
    <w:rsid w:val="00860EE0"/>
    <w:rsid w:val="0088777D"/>
    <w:rsid w:val="00895A6B"/>
    <w:rsid w:val="008B5411"/>
    <w:rsid w:val="008B5E6C"/>
    <w:rsid w:val="008C30A6"/>
    <w:rsid w:val="008C33E2"/>
    <w:rsid w:val="008C520D"/>
    <w:rsid w:val="00900B67"/>
    <w:rsid w:val="00922A2A"/>
    <w:rsid w:val="00933F1E"/>
    <w:rsid w:val="00933FD7"/>
    <w:rsid w:val="009651AD"/>
    <w:rsid w:val="00977A91"/>
    <w:rsid w:val="0098231A"/>
    <w:rsid w:val="009A7F8C"/>
    <w:rsid w:val="009C6FF6"/>
    <w:rsid w:val="009D45C0"/>
    <w:rsid w:val="009E6811"/>
    <w:rsid w:val="009E772A"/>
    <w:rsid w:val="00A2151F"/>
    <w:rsid w:val="00A3349D"/>
    <w:rsid w:val="00A33CB7"/>
    <w:rsid w:val="00A41095"/>
    <w:rsid w:val="00A513D0"/>
    <w:rsid w:val="00A557C3"/>
    <w:rsid w:val="00A6048E"/>
    <w:rsid w:val="00A63CCF"/>
    <w:rsid w:val="00A6734A"/>
    <w:rsid w:val="00A7284F"/>
    <w:rsid w:val="00A80CCE"/>
    <w:rsid w:val="00A84B8F"/>
    <w:rsid w:val="00A86240"/>
    <w:rsid w:val="00A943F4"/>
    <w:rsid w:val="00AB566D"/>
    <w:rsid w:val="00AC4B8A"/>
    <w:rsid w:val="00AD148C"/>
    <w:rsid w:val="00AE4D2A"/>
    <w:rsid w:val="00AE557B"/>
    <w:rsid w:val="00AE6702"/>
    <w:rsid w:val="00AE72BD"/>
    <w:rsid w:val="00AF0467"/>
    <w:rsid w:val="00B019FF"/>
    <w:rsid w:val="00B035C9"/>
    <w:rsid w:val="00B30E22"/>
    <w:rsid w:val="00B31FF0"/>
    <w:rsid w:val="00B50CC3"/>
    <w:rsid w:val="00B6102A"/>
    <w:rsid w:val="00B65482"/>
    <w:rsid w:val="00B83367"/>
    <w:rsid w:val="00B84EC8"/>
    <w:rsid w:val="00B86237"/>
    <w:rsid w:val="00B91163"/>
    <w:rsid w:val="00B91654"/>
    <w:rsid w:val="00BA0CC8"/>
    <w:rsid w:val="00BA42B7"/>
    <w:rsid w:val="00BC542C"/>
    <w:rsid w:val="00BD39FC"/>
    <w:rsid w:val="00BD6E00"/>
    <w:rsid w:val="00BE3662"/>
    <w:rsid w:val="00BE4382"/>
    <w:rsid w:val="00BE50A3"/>
    <w:rsid w:val="00C03959"/>
    <w:rsid w:val="00C05C07"/>
    <w:rsid w:val="00C15E2D"/>
    <w:rsid w:val="00C16F59"/>
    <w:rsid w:val="00C20450"/>
    <w:rsid w:val="00C206A4"/>
    <w:rsid w:val="00C3189E"/>
    <w:rsid w:val="00C3424D"/>
    <w:rsid w:val="00C357D1"/>
    <w:rsid w:val="00C55B78"/>
    <w:rsid w:val="00C625C7"/>
    <w:rsid w:val="00CA2023"/>
    <w:rsid w:val="00CA2C2D"/>
    <w:rsid w:val="00CB6D5F"/>
    <w:rsid w:val="00CB7427"/>
    <w:rsid w:val="00CE6860"/>
    <w:rsid w:val="00D03CB3"/>
    <w:rsid w:val="00D062D5"/>
    <w:rsid w:val="00D067E0"/>
    <w:rsid w:val="00D1229A"/>
    <w:rsid w:val="00D16563"/>
    <w:rsid w:val="00D20539"/>
    <w:rsid w:val="00D44C7E"/>
    <w:rsid w:val="00D65505"/>
    <w:rsid w:val="00D718D5"/>
    <w:rsid w:val="00D74AAD"/>
    <w:rsid w:val="00D9435B"/>
    <w:rsid w:val="00D96BE4"/>
    <w:rsid w:val="00DA4324"/>
    <w:rsid w:val="00DA7177"/>
    <w:rsid w:val="00DB5FD5"/>
    <w:rsid w:val="00DE7A84"/>
    <w:rsid w:val="00E0421F"/>
    <w:rsid w:val="00E05EA4"/>
    <w:rsid w:val="00E10037"/>
    <w:rsid w:val="00E12C79"/>
    <w:rsid w:val="00E13336"/>
    <w:rsid w:val="00E324AC"/>
    <w:rsid w:val="00E4721E"/>
    <w:rsid w:val="00E74583"/>
    <w:rsid w:val="00E82F9C"/>
    <w:rsid w:val="00E840F8"/>
    <w:rsid w:val="00E86DD6"/>
    <w:rsid w:val="00EE5549"/>
    <w:rsid w:val="00EF0C27"/>
    <w:rsid w:val="00EF51C7"/>
    <w:rsid w:val="00F279C0"/>
    <w:rsid w:val="00F27E63"/>
    <w:rsid w:val="00F33513"/>
    <w:rsid w:val="00F3669E"/>
    <w:rsid w:val="00F52147"/>
    <w:rsid w:val="00F66132"/>
    <w:rsid w:val="00F714F9"/>
    <w:rsid w:val="00F776AF"/>
    <w:rsid w:val="00F835DC"/>
    <w:rsid w:val="00F8565D"/>
    <w:rsid w:val="00F97949"/>
    <w:rsid w:val="00FA0909"/>
    <w:rsid w:val="00FA17A0"/>
    <w:rsid w:val="00FB470E"/>
    <w:rsid w:val="00FE1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14DE6"/>
  <w15:chartTrackingRefBased/>
  <w15:docId w15:val="{2A349D56-57C0-4691-B065-5CB0C8BD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57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F97949"/>
    <w:pPr>
      <w:keepNext/>
      <w:keepLines/>
      <w:spacing w:before="40" w:after="0"/>
      <w:outlineLvl w:val="2"/>
    </w:pPr>
    <w:rPr>
      <w:rFonts w:asciiTheme="majorHAnsi" w:eastAsiaTheme="majorEastAsia" w:hAnsiTheme="majorHAnsi" w:cstheme="majorBidi"/>
      <w:color w:val="1F3763" w:themeColor="accent1" w:themeShade="7F"/>
      <w:kern w:val="0"/>
      <w:sz w:val="24"/>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10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101C"/>
  </w:style>
  <w:style w:type="paragraph" w:styleId="Footer">
    <w:name w:val="footer"/>
    <w:basedOn w:val="Normal"/>
    <w:link w:val="FooterChar"/>
    <w:uiPriority w:val="99"/>
    <w:unhideWhenUsed/>
    <w:rsid w:val="00351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01C"/>
  </w:style>
  <w:style w:type="table" w:styleId="TableGrid">
    <w:name w:val="Table Grid"/>
    <w:basedOn w:val="TableNormal"/>
    <w:uiPriority w:val="39"/>
    <w:rsid w:val="003510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97949"/>
    <w:rPr>
      <w:rFonts w:asciiTheme="majorHAnsi" w:eastAsiaTheme="majorEastAsia" w:hAnsiTheme="majorHAnsi" w:cstheme="majorBidi"/>
      <w:color w:val="1F3763" w:themeColor="accent1" w:themeShade="7F"/>
      <w:kern w:val="0"/>
      <w:sz w:val="24"/>
      <w:szCs w:val="24"/>
      <w:lang w:val="ro-RO"/>
      <w14:ligatures w14:val="none"/>
    </w:r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
    <w:basedOn w:val="Normal"/>
    <w:link w:val="ListParagraphChar"/>
    <w:uiPriority w:val="34"/>
    <w:qFormat/>
    <w:rsid w:val="00697C59"/>
    <w:pPr>
      <w:ind w:left="720"/>
      <w:contextualSpacing/>
    </w:pPr>
  </w:style>
  <w:style w:type="paragraph" w:customStyle="1" w:styleId="Default">
    <w:name w:val="Default"/>
    <w:rsid w:val="00623C5F"/>
    <w:pPr>
      <w:autoSpaceDE w:val="0"/>
      <w:autoSpaceDN w:val="0"/>
      <w:adjustRightInd w:val="0"/>
      <w:spacing w:after="0" w:line="240" w:lineRule="auto"/>
    </w:pPr>
    <w:rPr>
      <w:rFonts w:ascii="Verdana" w:eastAsia="Times New Roman" w:hAnsi="Verdana" w:cs="Times New Roman"/>
      <w:kern w:val="0"/>
      <w:sz w:val="20"/>
      <w:szCs w:val="20"/>
      <w14:ligatures w14:val="none"/>
    </w:rPr>
  </w:style>
  <w:style w:type="character" w:customStyle="1" w:styleId="Heading1Char">
    <w:name w:val="Heading 1 Char"/>
    <w:basedOn w:val="DefaultParagraphFont"/>
    <w:link w:val="Heading1"/>
    <w:uiPriority w:val="9"/>
    <w:rsid w:val="00C357D1"/>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basedOn w:val="DefaultParagraphFont"/>
    <w:link w:val="ListParagraph"/>
    <w:uiPriority w:val="34"/>
    <w:qFormat/>
    <w:locked/>
    <w:rsid w:val="00C357D1"/>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iPriority w:val="99"/>
    <w:qFormat/>
    <w:rsid w:val="00B019FF"/>
    <w:pPr>
      <w:spacing w:after="0" w:line="240" w:lineRule="auto"/>
      <w:ind w:left="720" w:hanging="720"/>
    </w:pPr>
    <w:rPr>
      <w:rFonts w:ascii="Times New Roman" w:eastAsia="Times New Roman" w:hAnsi="Times New Roman" w:cs="Times New Roman"/>
      <w:kern w:val="0"/>
      <w:sz w:val="24"/>
      <w:szCs w:val="20"/>
      <w:lang w:val="en-GB"/>
      <w14:ligatures w14:val="none"/>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rsid w:val="00B019FF"/>
    <w:rPr>
      <w:rFonts w:ascii="Times New Roman" w:eastAsia="Times New Roman" w:hAnsi="Times New Roman" w:cs="Times New Roman"/>
      <w:kern w:val="0"/>
      <w:sz w:val="24"/>
      <w:szCs w:val="20"/>
      <w:lang w:val="en-GB"/>
      <w14:ligatures w14:val="none"/>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BVIfnrCaracter"/>
    <w:uiPriority w:val="99"/>
    <w:qFormat/>
    <w:rsid w:val="00B019FF"/>
    <w:rPr>
      <w:b/>
      <w:vertAlign w:val="superscript"/>
    </w:rPr>
  </w:style>
  <w:style w:type="paragraph" w:customStyle="1" w:styleId="BVIfnrCaracter">
    <w:name w:val="BVI fnr Caracter"/>
    <w:aliases w:val="Footnote symbol Caracter,16 Point Caracter,Superscript 6 Point Caracter,ftref Caracter,BVI fnr Char1 Char Char Caracter,Footnote Reference Number Char Char Char Caracter,Times 10 Point Char Char Char Caracter"/>
    <w:basedOn w:val="Normal"/>
    <w:next w:val="Normal"/>
    <w:link w:val="FootnoteReference"/>
    <w:uiPriority w:val="99"/>
    <w:rsid w:val="00B019FF"/>
    <w:pPr>
      <w:spacing w:after="0" w:line="240" w:lineRule="exact"/>
    </w:pPr>
    <w:rPr>
      <w:b/>
      <w:vertAlign w:val="superscript"/>
    </w:rPr>
  </w:style>
  <w:style w:type="paragraph" w:styleId="EndnoteText">
    <w:name w:val="endnote text"/>
    <w:basedOn w:val="Normal"/>
    <w:link w:val="EndnoteTextChar"/>
    <w:uiPriority w:val="99"/>
    <w:semiHidden/>
    <w:unhideWhenUsed/>
    <w:rsid w:val="00B019F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9FF"/>
    <w:rPr>
      <w:sz w:val="20"/>
      <w:szCs w:val="20"/>
    </w:rPr>
  </w:style>
  <w:style w:type="character" w:styleId="EndnoteReference">
    <w:name w:val="endnote reference"/>
    <w:basedOn w:val="DefaultParagraphFont"/>
    <w:uiPriority w:val="99"/>
    <w:semiHidden/>
    <w:unhideWhenUsed/>
    <w:rsid w:val="00B019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6E3AB-AD42-4AAE-A350-C6EBE0780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Pages>
  <Words>559</Words>
  <Characters>3191</Characters>
  <Application>Microsoft Office Word</Application>
  <DocSecurity>0</DocSecurity>
  <Lines>26</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427</cp:revision>
  <dcterms:created xsi:type="dcterms:W3CDTF">2024-03-20T13:33:00Z</dcterms:created>
  <dcterms:modified xsi:type="dcterms:W3CDTF">2025-02-18T12:12:00Z</dcterms:modified>
</cp:coreProperties>
</file>